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49442-2022 i Gnesta kommun</w:t>
      </w:r>
    </w:p>
    <w:p>
      <w:r>
        <w:t>Detta dokument behandlar höga naturvärden i avverkningsanmälan A 49442-2022 i Gnesta kommun. Denna avverkningsanmälan inkom 2022-10-27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streckvaxskivling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805"/>
            <wp:docPr id="1" name="Picture 1"/>
            <wp:cNvGraphicFramePr>
              <a:graphicFrameLocks noChangeAspect="1"/>
            </wp:cNvGraphicFramePr>
            <a:graphic>
              <a:graphicData uri="http://schemas.openxmlformats.org/drawingml/2006/picture">
                <pic:pic>
                  <pic:nvPicPr>
                    <pic:cNvPr id="0" name="A 49442-2022 karta.png"/>
                    <pic:cNvPicPr/>
                  </pic:nvPicPr>
                  <pic:blipFill>
                    <a:blip r:embed="rId16"/>
                    <a:stretch>
                      <a:fillRect/>
                    </a:stretch>
                  </pic:blipFill>
                  <pic:spPr>
                    <a:xfrm>
                      <a:off x="0" y="0"/>
                      <a:ext cx="5486400" cy="36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6545955, E 622132 i SWEREF 99 TM.</w:t>
      </w:r>
    </w:p>
    <w:p>
      <w:r>
        <w:rPr>
          <w:b/>
        </w:rPr>
        <w:t xml:space="preserve">Streckvaxskivling (VU) </w:t>
      </w:r>
      <w:r>
        <w:t>är en mycket sällsynt art som bildar mykorrhiza med tall och gran på kalk- och örtrik mark i äldre barrblandskog, huvudsakligen ängsgranskog. Rationellt skogsbruk, särskilt slutavverkning och markberedning är förödande för arten. Streckvaxskivling är placerad högst upp i Skogsstyrelsens värdepyramid för bedömning av skog med höga naturvärden. Fler områden med äldre granskog på kalkhaltig mark bör skyddas och lämnas till fri utveckling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