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69355-2020 i Gnesta kommun</w:t>
      </w:r>
    </w:p>
    <w:p>
      <w:r>
        <w:t>Detta dokument behandlar höga naturvärden i avverkningsanmälan A 69355-2020 i Gnesta kommun. Denna avverkningsanmälan inkom 2020-12-28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entita (NT, §4), fjällvråk (NT, §4), hornuggla (NT, §4), rödvingetrast (NT, §4), spillkråka (NT, §4), svartvit flugsnappare (NT, §4), myskbock (S), grönsiska (§4), göktyta (§4), järnsparv (§4) och röd glada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69355-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6550935, E 613902 i SWEREF 99 TM.</w:t>
      </w:r>
    </w:p>
    <w:p>
      <w:pPr>
        <w:pStyle w:val="Heading1"/>
      </w:pPr>
      <w:r>
        <w:t>Fridlysta arter</w:t>
      </w:r>
    </w:p>
    <w:p>
      <w:r>
        <w:t>Följande fridlysta arter har sina livsmiljöer och växtplatser i den avverkningsanmälda skogen: entita (NT, §4), fjällvråk (NT, §4), hornuggla (NT, §4), rödvingetrast (NT, §4), spillkråka (NT, §4), svartvit flugsnappare (NT, §4), grönsiska (§4), göktyta (§4), järnsparv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