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35182-2024 i Gnesta kommun</w:t>
      </w:r>
    </w:p>
    <w:p>
      <w:r>
        <w:t>Denna tillsynsbegäran behandlar höga naturvärden i avverkningsanmälan A 35182-2024 i Gnesta kommun som inkom 2024-08-26 och omfattar 3,2 ha.</w:t>
      </w:r>
    </w:p>
    <w:p>
      <w:pPr>
        <w:pStyle w:val="Caption"/>
      </w:pPr>
      <w:r>
        <w:drawing>
          <wp:inline xmlns:a="http://schemas.openxmlformats.org/drawingml/2006/main" xmlns:pic="http://schemas.openxmlformats.org/drawingml/2006/picture">
            <wp:extent cx="5486400" cy="5671165"/>
            <wp:docPr id="1" name="Picture 1"/>
            <wp:cNvGraphicFramePr>
              <a:graphicFrameLocks noChangeAspect="1"/>
            </wp:cNvGraphicFramePr>
            <a:graphic>
              <a:graphicData uri="http://schemas.openxmlformats.org/drawingml/2006/picture">
                <pic:pic>
                  <pic:nvPicPr>
                    <pic:cNvPr id="0" name="A 35182-2024 karta.png"/>
                    <pic:cNvPicPr/>
                  </pic:nvPicPr>
                  <pic:blipFill>
                    <a:blip r:embed="rId16"/>
                    <a:stretch>
                      <a:fillRect/>
                    </a:stretch>
                  </pic:blipFill>
                  <pic:spPr>
                    <a:xfrm>
                      <a:off x="0" y="0"/>
                      <a:ext cx="5486400" cy="567116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6561721, E 613866 i SWEREF 99 TM.</w:t>
      </w:r>
    </w:p>
    <w:p>
      <w:r>
        <w:t>I och inom 5 meter från avverkningsanmälan finns fynd av 8 naturvårdsarter, varav 4 är rödlistade, 7 är typiska (T) och 4 är signalarter (S): dropptaggsvamp (NT, T), dvärgbägarlav (NT, T), kandelabersvamp (NT, T), motaggsvamp (NT, T), aspvedgnagare (S), bronshjon (S, T), flagellkvastmossa (S, T) och granbarkgnagare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dvärgbägarlav (NT, T), kandelabersvamp (NT, T), motaggsvamp (NT, T), bronshjon (S, T), flagellkvastmossa (S, T) och granbarkgnagare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