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1509-2023 i Nyköpings kommun</w:t>
      </w:r>
    </w:p>
    <w:p>
      <w:r>
        <w:t>Detta klagomål behandlar höga naturvärden i avverkningsanmälan A 1509-2023 i Nyköpings kommun som inkom 2023-01-11 och omfattar 6,3 ha.</w:t>
      </w:r>
    </w:p>
    <w:p>
      <w:pPr>
        <w:pStyle w:val="Caption"/>
      </w:pPr>
      <w:r>
        <w:drawing>
          <wp:inline xmlns:a="http://schemas.openxmlformats.org/drawingml/2006/main" xmlns:pic="http://schemas.openxmlformats.org/drawingml/2006/picture">
            <wp:extent cx="5486400" cy="3208884"/>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32088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6514164, E 581468 i SWEREF 99 TM.</w:t>
      </w:r>
    </w:p>
    <w:p>
      <w:r>
        <w:t>I och inom 23 meter från avverkningsanmälan finns fynd av 4 naturvårdsarter, varav 2 är rödlistade, 1 är typisk (T) och 2 är signalarter (S): skogsklocka (NT), skorpgelélav (NT), aspvedgnagare (S)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