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38366-2021 i Nyköpings kommun</w:t>
      </w:r>
    </w:p>
    <w:p>
      <w:r>
        <w:t>Detta klagomål behandlar höga naturvärden i avverkningsanmälan A 38366-2021 i Nyköpings kommun som inkom 2021-07-29 och omfattar 2,6 ha.</w:t>
      </w:r>
    </w:p>
    <w:p>
      <w:pPr>
        <w:pStyle w:val="Caption"/>
      </w:pPr>
      <w:r>
        <w:drawing>
          <wp:inline xmlns:a="http://schemas.openxmlformats.org/drawingml/2006/main" xmlns:pic="http://schemas.openxmlformats.org/drawingml/2006/picture">
            <wp:extent cx="4935229" cy="5724000"/>
            <wp:docPr id="1" name="Picture 1"/>
            <wp:cNvGraphicFramePr>
              <a:graphicFrameLocks noChangeAspect="1"/>
            </wp:cNvGraphicFramePr>
            <a:graphic>
              <a:graphicData uri="http://schemas.openxmlformats.org/drawingml/2006/picture">
                <pic:pic>
                  <pic:nvPicPr>
                    <pic:cNvPr id="0" name="A 38366-2021 karta.png"/>
                    <pic:cNvPicPr/>
                  </pic:nvPicPr>
                  <pic:blipFill>
                    <a:blip r:embed="rId16"/>
                    <a:stretch>
                      <a:fillRect/>
                    </a:stretch>
                  </pic:blipFill>
                  <pic:spPr>
                    <a:xfrm>
                      <a:off x="0" y="0"/>
                      <a:ext cx="493522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6513714, E 580957 i SWEREF 99 TM.</w:t>
      </w:r>
    </w:p>
    <w:p>
      <w:r>
        <w:t>I avverkningsanmälan finns fynd av 2 naturvårdsarter, varav 2 är rödlistade och 1 är fridlyst: berguv (VU, §4) och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Berguv (VU, §4)</w:t>
      </w:r>
      <w:r>
        <w:t xml:space="preserve"> är rödlistad som sårbar och upptagen i bilaga 1 EU:s fågeldirektiv. Den har minskat med 40 (20–50) % under de senaste 30 åren och antalet individer bedöms vara lägre än gränsvärdet för Sårbar (VU). Nuvarande bobranter och potentiella goda sådana i reserv måste skyddas från exploatering och skogsavverkningar. Omfattande avverkningar bör aldrig tillåtas ända in under bergroten och som minimum bör en ridå på cirka 50 meters bredd sparas. Kring markhäckningar behöver den kvarlämnade skyddszonen troligen vara minst 100 meter om arten ska finnas kvar. Berget med skyddskappa av träd bör inte heller isoleras från angränsande större skog genom helt kalavverkade omgivningar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Berguv – ekologi samt krav på livsmiljön</w:t>
      </w:r>
    </w:p>
    <w:p>
      <w:r>
        <w:t>Berguv (VU, §4) är rödlistad som sårbar och upptagen i bilaga 1 EU:s fågeldirektiv. Den häckar i rasbranter och klippterräng, ofta på en svårtillgänglig och skyddad klipphylla eller skreva. Branten ska gärna vara sydvänd så den blir snöfri tidigt. Boet kan ibland ligga på marken i vanlig skog, men då ofta i en mer eller mindre brant sluttning och gärna i skydd mot en sten eller myrstack. Den häckar dessutom i stenbrott, grustag, vid soptippar eller liknande artificiella miljöer. Häckningar förekommer också på byggnader. Lämpliga lokaler används ofta under många år, särskilt vissa så kallade uvberg och då uvarna till slut blivit fast bosatta i ett revir förblir de starkt bundna till detta. Ett normalrevir torde ha 4–6 kilometers diameter och innehåller i allmänhet starkt växlande natur (SLU Artdatabanken, 2024; Skogsstyrelsen, 2016).</w:t>
      </w:r>
    </w:p>
    <w:p>
      <w:r>
        <w:t>Trots att berguven delvis förekommer i människoskapade miljöer är den känslig för störningar i närheten av boet. Det gäller särskilt under ruvningstiden och när ungarna är små. Berguven har en mycket långt utdragen häckning, från slutet av februari ända bort mot början av september, då ungarna först vid denna tid lämnar kläckningsplatsen och föräldrarna (SLU Artdatabanken, 2024; Skogsstyrelsen, 2016).</w:t>
      </w:r>
    </w:p>
    <w:p>
      <w:r>
        <w:t>Nuvarande bobranter och potentiella goda sådana i reserv måste på olika sätt skyddas genom totalt skydd mot bebyggelse. Omfattande avverkningar bör aldrig tillåtas ända in under bergroten. Som minimum bör en ridå på cirka 50 meters bredd sparas och den kvarlämnade skyddszonen kring markhäckningar behöver troligen minst vara i storleksordningen 100 meter om arten ska finnas kvar. Berget med skyddskappa av träd bör inte heller isoleras från angränsande större skog genom helt kalavverkade omgivningar. Minskningstakten för berguven har uppgått till 40 (20–50) % under de senaste 30 åren och antalet individer bedöms vara lägre än gränsvärdet för Sårbar (VU) enligt D-kriteriet. (D1) (SLU Artdatabanken, 2024; Skogsstyrelsen, 2016).</w:t>
      </w:r>
    </w:p>
    <w:p>
      <w:pPr>
        <w:pStyle w:val="Heading2"/>
      </w:pPr>
      <w:r>
        <w:t>Referenser – berguv</w:t>
      </w:r>
    </w:p>
    <w:p>
      <w:r>
        <w:t xml:space="preserve">Skogsstyrelsen, 2016. </w:t>
      </w:r>
      <w:r>
        <w:rPr>
          <w:i/>
        </w:rPr>
        <w:t xml:space="preserve">Vägledning för hänsyn till berguv.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