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4093-2022 i Nyköpings kommun</w:t>
      </w:r>
    </w:p>
    <w:p>
      <w:r>
        <w:t>Denna tillsynsbegäran behandlar höga naturvärden i samrådsanmälan S 4093-2022 i Nyköpings kommun som inkom 2022-07-18 och omfattar 45,0 ha.</w:t>
      </w:r>
    </w:p>
    <w:p>
      <w:pPr>
        <w:pStyle w:val="Caption"/>
      </w:pPr>
      <w:r>
        <w:drawing>
          <wp:inline xmlns:a="http://schemas.openxmlformats.org/drawingml/2006/main" xmlns:pic="http://schemas.openxmlformats.org/drawingml/2006/picture">
            <wp:extent cx="4740495" cy="5724000"/>
            <wp:docPr id="1" name="Picture 1"/>
            <wp:cNvGraphicFramePr>
              <a:graphicFrameLocks noChangeAspect="1"/>
            </wp:cNvGraphicFramePr>
            <a:graphic>
              <a:graphicData uri="http://schemas.openxmlformats.org/drawingml/2006/picture">
                <pic:pic>
                  <pic:nvPicPr>
                    <pic:cNvPr id="0" name="S 4093-2022 karta.png"/>
                    <pic:cNvPicPr/>
                  </pic:nvPicPr>
                  <pic:blipFill>
                    <a:blip r:embed="rId16"/>
                    <a:stretch>
                      <a:fillRect/>
                    </a:stretch>
                  </pic:blipFill>
                  <pic:spPr>
                    <a:xfrm>
                      <a:off x="0" y="0"/>
                      <a:ext cx="4740495"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6518942, E 575412 i SWEREF 99 TM.</w:t>
      </w:r>
    </w:p>
    <w:p>
      <w:r>
        <w:t>I och inom 15 meter från samrådsanmälan finns fynd av 9 naturvårdsarter, varav 4 är rödlistade, 3 är fridlysta, 6 är typiska (T) och 3 är signalarter (S): dropptaggsvamp (NT, T), motaggsvamp (NT, T), talltita (NT, §4), ullticka (NT, T), blåmossa (S, T), vedticka (S, T), vågbandad barkbock (S), tjäder (T,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dropptaggsvamp (NT, T), motaggsvamp (NT, T), ullticka (NT, T), blåmossa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