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50065-2025 i Nyköpings kommun</w:t>
      </w:r>
    </w:p>
    <w:p>
      <w:r>
        <w:t>Denna tillsynsbegäran behandlar höga naturvärden i avverkningsanmälan A 50065-2025 i Nyköpings kommun som inkom 2025-10-13 och omfattar 11,7 ha.</w:t>
      </w:r>
    </w:p>
    <w:p>
      <w:pPr>
        <w:pStyle w:val="Caption"/>
      </w:pPr>
      <w:r>
        <w:drawing>
          <wp:inline xmlns:a="http://schemas.openxmlformats.org/drawingml/2006/main" xmlns:pic="http://schemas.openxmlformats.org/drawingml/2006/picture">
            <wp:extent cx="5486400" cy="4741736"/>
            <wp:docPr id="1" name="Picture 1"/>
            <wp:cNvGraphicFramePr>
              <a:graphicFrameLocks noChangeAspect="1"/>
            </wp:cNvGraphicFramePr>
            <a:graphic>
              <a:graphicData uri="http://schemas.openxmlformats.org/drawingml/2006/picture">
                <pic:pic>
                  <pic:nvPicPr>
                    <pic:cNvPr id="0" name="A 50065-2025 karta.png"/>
                    <pic:cNvPicPr/>
                  </pic:nvPicPr>
                  <pic:blipFill>
                    <a:blip r:embed="rId16"/>
                    <a:stretch>
                      <a:fillRect/>
                    </a:stretch>
                  </pic:blipFill>
                  <pic:spPr>
                    <a:xfrm>
                      <a:off x="0" y="0"/>
                      <a:ext cx="5486400" cy="474173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6507857, E 582819 i SWEREF 99 TM.</w:t>
      </w:r>
    </w:p>
    <w:p>
      <w:r>
        <w:t>I avverkningsanmälan finns fynd av 13 naturvårdsarter, varav 8 är rödlistade, 1 är fridlyst, 6 är typiska (T) och 5 är signalarter (S): knärot (VU, T, §8), lammticka (VU), skrovlig taggsvamp (VU), dropptaggsvamp (NT, T), grantaggsvamp (NT), motaggsvamp (NT, T), skarp dropptaggsvamp (NT), svartvit taggsvamp (NT), blomkålssvamp (S), bronshjon (S, T), grönpyrola (S, T), mindre märgborre (S, T) och zontaggsvamp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1.37 ha med buffertzonerna och får av detta skäl inte avverkas.</w:t>
      </w:r>
    </w:p>
    <w:p>
      <w:pPr>
        <w:pStyle w:val="Caption"/>
      </w:pPr>
      <w:r>
        <w:drawing>
          <wp:inline xmlns:a="http://schemas.openxmlformats.org/drawingml/2006/main" xmlns:pic="http://schemas.openxmlformats.org/drawingml/2006/picture">
            <wp:extent cx="5486400" cy="6121712"/>
            <wp:docPr id="2" name="Picture 2"/>
            <wp:cNvGraphicFramePr>
              <a:graphicFrameLocks noChangeAspect="1"/>
            </wp:cNvGraphicFramePr>
            <a:graphic>
              <a:graphicData uri="http://schemas.openxmlformats.org/drawingml/2006/picture">
                <pic:pic>
                  <pic:nvPicPr>
                    <pic:cNvPr id="0" name="A 50065-2025 karta knärot.png"/>
                    <pic:cNvPicPr/>
                  </pic:nvPicPr>
                  <pic:blipFill>
                    <a:blip r:embed="rId17"/>
                    <a:stretch>
                      <a:fillRect/>
                    </a:stretch>
                  </pic:blipFill>
                  <pic:spPr>
                    <a:xfrm>
                      <a:off x="0" y="0"/>
                      <a:ext cx="5486400" cy="612171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6507857, E 582819 i SWEREF 99 TM.</w:t>
      </w:r>
    </w:p>
    <w:p>
      <w:r>
        <w:rPr>
          <w:b/>
        </w:rPr>
        <w:t>Lammticka (VU)</w:t>
      </w:r>
      <w:r>
        <w:t xml:space="preserve"> bildar mykorrhiza med tall och växer i tämligen öppna barrskogar ofta magra tallhedar, gärna på sandig mark.</w:t>
      </w:r>
      <w:r>
        <w:rPr>
          <w:b/>
        </w:rPr>
        <w:t xml:space="preserve"> </w:t>
      </w:r>
      <w:r>
        <w:t>Arten är placerad högst upp i Skogsstyrelsens värdepyramid för bedömning av skog med höga naturvärden och tål inte slutavverkning (SLU Artdatabanken, 2024;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dropptaggsvamp (NT, T), motaggsvamp (NT, T), bronshjon (S, T), grönpyrola (S, T) och mindre märgborre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