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16133-2023 i Nyköpings kommun</w:t>
      </w:r>
    </w:p>
    <w:p>
      <w:r>
        <w:t>Detta dokument behandlar höga naturvärden i avverkningsanmälan A 16133-2023 i Nyköpings kommun. Denna avverkningsanmälan inkom 2023-04-11 och omfattar 10,0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barbastell (NT, §4a), brunlångöra (NT, §4a), nordfladdermus (NT, §4a), ärtsångare (NT, §4), dvärgpipistrell (§4a), gråskimlig fladdermus (§4a), större brunfladdermus (§4a) och vattenfladdermus (§4a).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2432"/>
            <wp:docPr id="1" name="Picture 1"/>
            <wp:cNvGraphicFramePr>
              <a:graphicFrameLocks noChangeAspect="1"/>
            </wp:cNvGraphicFramePr>
            <a:graphic>
              <a:graphicData uri="http://schemas.openxmlformats.org/drawingml/2006/picture">
                <pic:pic>
                  <pic:nvPicPr>
                    <pic:cNvPr id="0" name="A 16133-2023 karta.png"/>
                    <pic:cNvPicPr/>
                  </pic:nvPicPr>
                  <pic:blipFill>
                    <a:blip r:embed="rId16"/>
                    <a:stretch>
                      <a:fillRect/>
                    </a:stretch>
                  </pic:blipFill>
                  <pic:spPr>
                    <a:xfrm>
                      <a:off x="0" y="0"/>
                      <a:ext cx="5486400" cy="5362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6515376, E 611943 i SWEREF 99 TM.</w:t>
      </w:r>
    </w:p>
    <w:p>
      <w:pPr>
        <w:pStyle w:val="Heading1"/>
      </w:pPr>
      <w:r>
        <w:t>Fridlysta arter</w:t>
      </w:r>
    </w:p>
    <w:p>
      <w:r>
        <w:t>Följande fridlysta arter har sina livsmiljöer och växtplatser i den avverkningsanmälda skogen: barbastell (NT, §4a), brunlångöra (NT, §4a), nordfladdermus (NT, §4a), ärtsångare (NT, §4), dvärgpipistrell (§4a), gråskimlig fladdermus (§4a), större brunfladdermus (§4a) och vattenfladdermus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 https://www.naturvardsverket.se/om-oss/publikationer/6500/atgardsprogram-barbastell</w:t>
      </w:r>
    </w:p>
    <w:p>
      <w:r>
        <w:t xml:space="preserve">SLU Artdatabanken, 2024. </w:t>
      </w:r>
      <w:r>
        <w:rPr>
          <w:i/>
        </w:rPr>
        <w:t xml:space="preserve">Artfakta: barbastell (Barbastella barbastellus). </w:t>
      </w:r>
      <w:r>
        <w:t>https://artfakta.se/taxa/100015</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