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21129-2024 i Nyköpings kommun</w:t>
      </w:r>
    </w:p>
    <w:p>
      <w:r>
        <w:t>Detta klagomål behandlar höga naturvärden i avverkningsanmälan A 21129-2024 i Nyköpings kommun som inkom 2024-05-28 och omfattar 2,8 ha.</w:t>
      </w:r>
    </w:p>
    <w:p>
      <w:pPr>
        <w:pStyle w:val="Caption"/>
      </w:pPr>
      <w:r>
        <w:drawing>
          <wp:inline xmlns:a="http://schemas.openxmlformats.org/drawingml/2006/main" xmlns:pic="http://schemas.openxmlformats.org/drawingml/2006/picture">
            <wp:extent cx="4571332" cy="5724000"/>
            <wp:docPr id="1" name="Picture 1"/>
            <wp:cNvGraphicFramePr>
              <a:graphicFrameLocks noChangeAspect="1"/>
            </wp:cNvGraphicFramePr>
            <a:graphic>
              <a:graphicData uri="http://schemas.openxmlformats.org/drawingml/2006/picture">
                <pic:pic>
                  <pic:nvPicPr>
                    <pic:cNvPr id="0" name="A 21129-2024 karta.png"/>
                    <pic:cNvPicPr/>
                  </pic:nvPicPr>
                  <pic:blipFill>
                    <a:blip r:embed="rId16"/>
                    <a:stretch>
                      <a:fillRect/>
                    </a:stretch>
                  </pic:blipFill>
                  <pic:spPr>
                    <a:xfrm>
                      <a:off x="0" y="0"/>
                      <a:ext cx="4571332" cy="572400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6517793, E 614765 i SWEREF 99 TM.</w:t>
      </w:r>
    </w:p>
    <w:p>
      <w:r>
        <w:t>Inom 17 meter från avverkningsanmälan finns fynd av 1 naturvårdsarter, varav 1 är typisk (T): liljekonvalj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Liljekonvalj</w:t>
      </w:r>
      <w:r>
        <w:t xml:space="preserve"> är typisk art för </w:t>
      </w:r>
      <w:r>
        <w:rPr>
          <w:i/>
        </w:rPr>
        <w:t>9190 Näringsfattig ekskog</w:t>
      </w:r>
      <w:r>
        <w:t>. På liljekonvalj kan man hitta rostsvampen konvaljerost (NE)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