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54227-2025 i Nyköpings kommun</w:t>
      </w:r>
    </w:p>
    <w:p>
      <w:r>
        <w:t>Denna tillsynsbegäran behandlar höga naturvärden i avverkningsanmälan A 54227-2025 i Nyköpings kommun som inkom 2025-11-03 och omfattar 1,8 ha.</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54227-2025 karta.png"/>
                    <pic:cNvPicPr/>
                  </pic:nvPicPr>
                  <pic:blipFill>
                    <a:blip r:embed="rId16"/>
                    <a:stretch>
                      <a:fillRect/>
                    </a:stretch>
                  </pic:blipFill>
                  <pic:spPr>
                    <a:xfrm>
                      <a:off x="0" y="0"/>
                      <a:ext cx="5486400" cy="4867507"/>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6507978, E 582990 i SWEREF 99 TM.</w:t>
      </w:r>
    </w:p>
    <w:p>
      <w:r>
        <w:t>Inom 24 meter från avverkningsanmälan finns fynd av 3 naturvårdsarter, varav 2 är rödlistade och 1 är signalart (S): grantaggsvamp (NT), skarp dropptaggsvamp (NT) och zontaggsvamp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Grantaggsvamp (NT) </w:t>
      </w:r>
      <w:r>
        <w:t>påträffas främst i mossiga och örtrika äldre granskogar på kalkrik mark i något fuktiga lägen, och i norr även i mager tallskog med lång kontinuitet. Arten missgynnas generellt av trakthyggesbruket och en långsiktig tillgång till värdträd bör säkras genom att man undviker att avverka kända växtplatser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