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56099-2024 i Nyköpings kommun</w:t>
      </w:r>
    </w:p>
    <w:p>
      <w:r>
        <w:t>Detta dokument behandlar höga naturvärden i avverkningsanmälan A 56099-2024 i Nyköpings kommun. Denna avverkningsanmälan inkom 2024-11-28 och omfattar 4,7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6 naturvårdsarter hittats: granbarkgnagare (S), grovticka (S), jättesvampmal (S), stekelbock (S), stor aspticka (S) och stubbspretmossa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46588"/>
            <wp:docPr id="1" name="Picture 1"/>
            <wp:cNvGraphicFramePr>
              <a:graphicFrameLocks noChangeAspect="1"/>
            </wp:cNvGraphicFramePr>
            <a:graphic>
              <a:graphicData uri="http://schemas.openxmlformats.org/drawingml/2006/picture">
                <pic:pic>
                  <pic:nvPicPr>
                    <pic:cNvPr id="0" name="A 56099-2024 karta.png"/>
                    <pic:cNvPicPr/>
                  </pic:nvPicPr>
                  <pic:blipFill>
                    <a:blip r:embed="rId16"/>
                    <a:stretch>
                      <a:fillRect/>
                    </a:stretch>
                  </pic:blipFill>
                  <pic:spPr>
                    <a:xfrm>
                      <a:off x="0" y="0"/>
                      <a:ext cx="5486400" cy="364658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6526594, E 623076 i SWEREF 99 TM.</w:t>
      </w:r>
    </w:p>
    <w:p>
      <w:r>
        <w:rPr>
          <w:b/>
        </w:rPr>
        <w:t>Grovticka</w:t>
      </w:r>
      <w:r>
        <w:t xml:space="preserve"> är i skogslandskapet främst knuten till naturskogsartad äldre barrskog. Den är där en värdefull ”gammelskogsindikator” och påträffas mest vid tallar som är över 200 år gamla (Nitare &amp; Skogsstyrelsen, 2019).</w:t>
      </w:r>
    </w:p>
    <w:p>
      <w:r>
        <w:rPr>
          <w:b/>
        </w:rPr>
        <w:t>Stor aspticka</w:t>
      </w:r>
      <w:r>
        <w:t xml:space="preserve"> är knuten till gamla levande aspar och orsakar karaktäristiska inbuktningar i stammen (så kallad nekroser). Slutavverknings- och gallringsåtgärder i löv- och blandskogsbestånd som innebär att tillgången på grov asp minskar är ett hot mot arten. Det är viktigt att äldre aspar och aspbestånd sparas och för att gynna arten på sikt bör aspinslagen i t.ex. bergbranter, raviner, skogsbryn och kring äldre odlingsmarker generellt sparas i större utsträckning än vad som görs idag (SLU Artdatabanken, 2024; Nitare &amp; Skogsstyrelsen, 2019).</w:t>
      </w:r>
    </w:p>
    <w:p>
      <w:r>
        <w:rPr>
          <w:b/>
        </w:rPr>
        <w:t>Stubbspretmossa</w:t>
      </w:r>
      <w:r>
        <w:t xml:space="preserve"> växer på ved i rika löv- och barrskogar med relativt hög luftfuktighet och indikerar fuktiga skogsmiljöer med gott om murken ved och ofta höga naturvärden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