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37879-2021 i Nyköpings kommun</w:t>
      </w:r>
    </w:p>
    <w:p>
      <w:r>
        <w:t>Denna tillsynsbegäran behandlar höga naturvärden i avverkningsanmälan A 37879-2021 i Nyköpings kommun som inkom 2021-07-26 och omfattar 1,0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33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787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6538894, E 623512 i SWEREF 99 TM.</w:t>
      </w:r>
    </w:p>
    <w:p>
      <w:r>
        <w:t>I avverkningsanmälan finns fynd av 2 naturvårdsarter, varav 2 är rödlistade: persiljespindling (NT) och svart skogssnigel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Persiljespindling (NT)</w:t>
      </w:r>
      <w:r>
        <w:t xml:space="preserve"> bildar mykorrhiza med tall, gran och bok i ängsgranskog, kalktallskog och i ängsbokskog på rikare mark. Minskningstakten uppgår till 15 % inom 50 år och bedöms vara nära gränsvärdet för Sårbar (VU). (A2c+3c+4c). Persiljespindlingen hotas av avverkningar och är särskilt känslig eftersom den är knuten till äldre, produktiv barrskog, d.v.s. en skogstyp som är en bristvara i skyddade områden i Sverige och som samtidigt försvinner i snabb takt genom slutavverkningar. Skyddet för äldre ört- och kalkrika barrskogar med trädkontinuitet måste öka och oskyddade bokskogar med persiljespindling måste få ett formellt skydd i form av biotopskydd eller naturreservat (SLU Artdatabanken, 2024).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