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18500-2024 i Nyköpings kommun</w:t>
      </w:r>
    </w:p>
    <w:p>
      <w:r>
        <w:t>Detta klagomål behandlar höga naturvärden i avverkningsanmälan A 18500-2024 i Nyköpings kommun som inkom 2024-05-12 och omfattar 2,4 ha.</w:t>
      </w:r>
    </w:p>
    <w:p>
      <w:pPr>
        <w:pStyle w:val="Caption"/>
      </w:pPr>
      <w:r>
        <w:drawing>
          <wp:inline xmlns:a="http://schemas.openxmlformats.org/drawingml/2006/main" xmlns:pic="http://schemas.openxmlformats.org/drawingml/2006/picture">
            <wp:extent cx="5486400" cy="4911365"/>
            <wp:docPr id="1" name="Picture 1"/>
            <wp:cNvGraphicFramePr>
              <a:graphicFrameLocks noChangeAspect="1"/>
            </wp:cNvGraphicFramePr>
            <a:graphic>
              <a:graphicData uri="http://schemas.openxmlformats.org/drawingml/2006/picture">
                <pic:pic>
                  <pic:nvPicPr>
                    <pic:cNvPr id="0" name="A 18500-2024 karta.png"/>
                    <pic:cNvPicPr/>
                  </pic:nvPicPr>
                  <pic:blipFill>
                    <a:blip r:embed="rId16"/>
                    <a:stretch>
                      <a:fillRect/>
                    </a:stretch>
                  </pic:blipFill>
                  <pic:spPr>
                    <a:xfrm>
                      <a:off x="0" y="0"/>
                      <a:ext cx="5486400" cy="4911365"/>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6504816, E 611821 i SWEREF 99 TM.</w:t>
      </w:r>
    </w:p>
    <w:p>
      <w:r>
        <w:t>Inom 18 meter från avverkningsanmälan finns fynd av 1 naturvårdsarter, varav 1 är rödlistad och 1 är fridlyst: tornseglare (VU,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Tornseglare (VU, §4)</w:t>
      </w:r>
      <w:r>
        <w:t xml:space="preserve"> har minskat med 40 (30–50) % under de senaste 24 åren och minskningstakten överstiger gränsvärdet för sårbar (VU). Tornseglaren är en typisk hålhäckare som numera huvudsakligen är knuten till mänsklig bebyggelse. En mindre andel av beståndet häckar i mer ursprungliga miljöer, i första hand i gamla hackspetthål (främst spillkråkehål) och andra typer av håligheter i träd, men även i klippskrevor. I de inre delarna av de två nordligaste länen (Lappland) häckar den huvudsakligen i ren skogsmiljö, framförallt i gammal gles tallskog. För de tornseglare som häckar i träd i Norrlands inland har situationen sannolikt försämrats till följd av minskad mängd hålträd och av stora arealer tät produktionsskog. När arten förekommer i sluten skog handlar det ofta om skyddsvärda skogsmiljöer med äldre tallskog av naturskogskaraktär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