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56099-2024 i Nyköpings kommun</w:t>
      </w:r>
    </w:p>
    <w:p>
      <w:r>
        <w:t>Denna tillsynsbegäran behandlar höga naturvärden i avverkningsanmälan A 56099-2024 i Nyköpings kommun som inkom 2024-11-28 och omfattar 4,7 ha.</w:t>
      </w:r>
    </w:p>
    <w:p>
      <w:pPr>
        <w:pStyle w:val="Caption"/>
      </w:pPr>
      <w:r>
        <w:drawing>
          <wp:inline xmlns:a="http://schemas.openxmlformats.org/drawingml/2006/main" xmlns:pic="http://schemas.openxmlformats.org/drawingml/2006/picture">
            <wp:extent cx="5486400" cy="4709631"/>
            <wp:docPr id="1" name="Picture 1"/>
            <wp:cNvGraphicFramePr>
              <a:graphicFrameLocks noChangeAspect="1"/>
            </wp:cNvGraphicFramePr>
            <a:graphic>
              <a:graphicData uri="http://schemas.openxmlformats.org/drawingml/2006/picture">
                <pic:pic>
                  <pic:nvPicPr>
                    <pic:cNvPr id="0" name="A 56099-2024 karta.png"/>
                    <pic:cNvPicPr/>
                  </pic:nvPicPr>
                  <pic:blipFill>
                    <a:blip r:embed="rId16"/>
                    <a:stretch>
                      <a:fillRect/>
                    </a:stretch>
                  </pic:blipFill>
                  <pic:spPr>
                    <a:xfrm>
                      <a:off x="0" y="0"/>
                      <a:ext cx="5486400" cy="47096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6526594, E 623076 i SWEREF 99 TM.</w:t>
      </w:r>
    </w:p>
    <w:p>
      <w:r>
        <w:t>I avverkningsanmälan finns fynd av 6 naturvårdsarter, varav 5 är typiska (T) och 6 är signalarter (S): granbarkgnagare (S, T), grovticka (S, T), jättesvampmal (S), stekelbock (S, T), stor aspticka (S, T)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granbarkgnagare (S, T), grovticka (S, T), stekelbock (S, T), stor aspticka (S, T) och stubbspretmossa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