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69612-2021 i Nyköpings kommun</w:t>
      </w:r>
    </w:p>
    <w:p>
      <w:r>
        <w:t>Denna tillsynsbegäran behandlar höga naturvärden i avverkningsanmälan A 69612-2021 i Nyköpings kommun som inkom 2021-12-01 och omfattar 9,2 ha.</w:t>
      </w:r>
    </w:p>
    <w:p>
      <w:pPr>
        <w:pStyle w:val="Caption"/>
      </w:pPr>
      <w:r>
        <w:drawing>
          <wp:inline xmlns:a="http://schemas.openxmlformats.org/drawingml/2006/main" xmlns:pic="http://schemas.openxmlformats.org/drawingml/2006/picture">
            <wp:extent cx="5397476" cy="5724000"/>
            <wp:docPr id="1" name="Picture 1"/>
            <wp:cNvGraphicFramePr>
              <a:graphicFrameLocks noChangeAspect="1"/>
            </wp:cNvGraphicFramePr>
            <a:graphic>
              <a:graphicData uri="http://schemas.openxmlformats.org/drawingml/2006/picture">
                <pic:pic>
                  <pic:nvPicPr>
                    <pic:cNvPr id="0" name="A 69612-2021 karta.png"/>
                    <pic:cNvPicPr/>
                  </pic:nvPicPr>
                  <pic:blipFill>
                    <a:blip r:embed="rId16"/>
                    <a:stretch>
                      <a:fillRect/>
                    </a:stretch>
                  </pic:blipFill>
                  <pic:spPr>
                    <a:xfrm>
                      <a:off x="0" y="0"/>
                      <a:ext cx="539747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6523490, E 618228 i SWEREF 99 TM.</w:t>
      </w:r>
    </w:p>
    <w:p>
      <w:r>
        <w:t>I och inom 25 meter från avverkningsanmälan finns fynd av 3 naturvårdsarter, varav 2 är rödlistade och 1 är signalart (S): fjällig taggsvamp s.str. (NT), stubbtrådmossa (NT) och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Stubbtrådmossa (NT)</w:t>
      </w:r>
      <w:r>
        <w:t xml:space="preserve"> är en bladlevermossa som växer uteslutande på murken ved gärna tillsammans med vedsäckmossa (VU) i fuktig barrskog och arten har sin tyngdpunkt i södra och mellersta Sverige. Genom att arten inte klarar kalavverkning, till stor del fortfarande finns mest i produktionsskog med lång trädkontinuitet gör avverkningar av denna typ av skog att artens population kommer att fortsätta att minska. Alla skogsskötselåtgärder på eller i omedelbar närhet av artens lokaler utgör ett hot. Aktuella lokaler bör undantas från rationell skogsskötsel. För att klara arten på sikt måste mängden död ved i landets granskogar öka väsentligt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