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47107-2021 i Nyköpings kommun</w:t>
      </w:r>
    </w:p>
    <w:p>
      <w:r>
        <w:t>Detta klagomål behandlar höga naturvärden i avverkningsanmälan A 47107-2021 i Nyköpings kommun som inkom 2021-09-07 och omfattar 4,9 ha.</w:t>
      </w:r>
    </w:p>
    <w:p>
      <w:pPr>
        <w:pStyle w:val="Caption"/>
      </w:pPr>
      <w:r>
        <w:drawing>
          <wp:inline xmlns:a="http://schemas.openxmlformats.org/drawingml/2006/main" xmlns:pic="http://schemas.openxmlformats.org/drawingml/2006/picture">
            <wp:extent cx="5486400" cy="4939797"/>
            <wp:docPr id="1" name="Picture 1"/>
            <wp:cNvGraphicFramePr>
              <a:graphicFrameLocks noChangeAspect="1"/>
            </wp:cNvGraphicFramePr>
            <a:graphic>
              <a:graphicData uri="http://schemas.openxmlformats.org/drawingml/2006/picture">
                <pic:pic>
                  <pic:nvPicPr>
                    <pic:cNvPr id="0" name="A 47107-2021 karta.png"/>
                    <pic:cNvPicPr/>
                  </pic:nvPicPr>
                  <pic:blipFill>
                    <a:blip r:embed="rId16"/>
                    <a:stretch>
                      <a:fillRect/>
                    </a:stretch>
                  </pic:blipFill>
                  <pic:spPr>
                    <a:xfrm>
                      <a:off x="0" y="0"/>
                      <a:ext cx="5486400" cy="4939797"/>
                    </a:xfrm>
                    <a:prstGeom prst="rect"/>
                  </pic:spPr>
                </pic:pic>
              </a:graphicData>
            </a:graphic>
          </wp:inline>
        </w:drawing>
      </w:r>
    </w:p>
    <w:p>
      <w:pPr>
        <w:pStyle w:val="Caption"/>
        <w:spacing w:after="240"/>
      </w:pPr>
      <w:r>
        <w:t>Figur 1. Fyndplatser för naturvårdsarter i och inom 9 meter från avverkningsanmälan. Markörer utan svart kant är placerade på fyndplatsen. Markörer med svart kant är placerade vid sidan av fyndplatsen har ett svart streck som visar fyndplatsens exakta position. Kartans mittpunktskoordinat är N 6520331, E 636063 i SWEREF 99 TM.</w:t>
      </w:r>
    </w:p>
    <w:p>
      <w:r>
        <w:t>I och inom 9 meter från avverkningsanmälan finns fynd av 5 naturvårdsarter, varav 1 är rödlistad, 2 är fridlysta, 3 är typiska (T) och 3 är signalarter (S): enkelbeckasin (NT, §4), rävticka (S, T), stor aspticka (S, T), trädporella (S, T) och lopplummer (aggregat) (§9).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Rävticka</w:t>
      </w:r>
      <w:r>
        <w:t xml:space="preserve"> är typisk art för </w:t>
      </w:r>
      <w:r>
        <w:rPr>
          <w:i/>
        </w:rPr>
        <w:t xml:space="preserve">9010 Taiga </w:t>
      </w:r>
      <w:r>
        <w:t>(SLU Artdatabanken, 2025).</w:t>
      </w:r>
    </w:p>
    <w:p>
      <w:r>
        <w:rPr>
          <w:b/>
        </w:rPr>
        <w:t>Stor aspticka</w:t>
      </w:r>
      <w:r>
        <w:t xml:space="preserve"> är knuten till gamla levande aspar och orsakar karaktäristiska inbuktningar i stammen (så kallad nekroser). Slutavverknings- och gallringsåtgärder i löv- och blandskogsbestånd som innebär att tillgången på grov asp minskar är ett hot mot arten. Det är viktigt att äldre aspar och aspbestånd sparas och för att gynna arten på sikt bör aspinslagen i t.ex. bergbranter, raviner, skogsbryn och kring äldre odlingsmarker generellt sparas i större utsträckning än vad som görs idag. Stor aspticka är typisk art för </w:t>
      </w:r>
      <w:r>
        <w:rPr>
          <w:i/>
        </w:rPr>
        <w:t xml:space="preserve">9010 Taiga </w:t>
      </w:r>
      <w:r>
        <w:t xml:space="preserve">och </w:t>
      </w:r>
      <w:r>
        <w:rPr>
          <w:i/>
        </w:rPr>
        <w:t>9030 Landhöjningsskog</w:t>
      </w:r>
      <w:r>
        <w:t xml:space="preserve"> (SLU Artdatabanken, 2024; Nitare &amp; Skogsstyrelsen, 2019).</w:t>
      </w:r>
    </w:p>
    <w:p>
      <w:r>
        <w:rPr>
          <w:b/>
        </w:rPr>
        <w:t xml:space="preserve">Trädporella </w:t>
      </w:r>
      <w:r>
        <w:t xml:space="preserve">är i stora delar av landet en utmärkt signal på skog med höga naturvärden och ofta påträffas många ovanliga och rödlistade arter på dess lokaler. Den växer huvudsakligen på grova ädellövträd i skuggiga och fuktiga miljöer, främst i slutna ädellövskogar och bergbranter med inslag av kalk- eller grönsten. Trädporella är typisk art för </w:t>
      </w:r>
      <w:r>
        <w:rPr>
          <w:i/>
        </w:rPr>
        <w:t xml:space="preserve">9020 Nordlig ädellövskog, 9110 Näringsfattig bokskog, 9130 Näringsrik bokskog, 9160 Näringsrik ekskog, 9180 Ädellövskog i branter </w:t>
      </w:r>
      <w:r>
        <w:t xml:space="preserve">och </w:t>
      </w:r>
      <w:r>
        <w:rPr>
          <w:i/>
        </w:rPr>
        <w:t xml:space="preserve">9190 Näringsfattig ekskog </w:t>
      </w:r>
      <w:r>
        <w:t>(Nitare &amp; Skogsstyrelsen, 2019; 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5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2026-08-02</w:t>
      <w:br/>
      <w:br/>
    </w:r>
    <w:r>
      <w:t>Till: Kommuner</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