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30353-2021 i Nyköpings kommun</w:t>
      </w:r>
    </w:p>
    <w:p>
      <w:r>
        <w:t>Detta dokument behandlar höga naturvärden i avverkningsanmälan A 30353-2021 i Nyköpings kommun. Denna avverkningsanmälan inkom 2021-06-17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0353-2021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avarönn (CR, §7).</w:t>
      </w:r>
    </w:p>
    <w:p>
      <w:r>
        <w:rPr>
          <w:b/>
        </w:rPr>
        <w:t>Avarönn (CR, §7)</w:t>
      </w:r>
      <w:r>
        <w:t xml:space="preserve"> är strikt skyddad enligt EU:s art- och habitatdirektiv och fridlyst enligt §7 Artskyddsförordningen (bilaga 1) vilket innebär att hela dess livsmiljö ska bevaras. Arten är akut hotad och förekommer endast på Fårö (Gotland). Markägare, boende och entreprenörer på Fårö bör informeras om aktuella växtplatser för avarönn och om hur man känner igen denna strikt skyddade art. Kända individer bör märkas så att de inte avverkas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