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57006-2023 i Nyköpings kommun</w:t>
      </w:r>
    </w:p>
    <w:p>
      <w:r>
        <w:t>Detta klagomål behandlar höga naturvärden i avverkningsanmälan A 57006-2023 i Nyköpings kommun som inkom 2023-11-14 och omfattar 11,9 ha.</w:t>
      </w:r>
    </w:p>
    <w:p>
      <w:pPr>
        <w:pStyle w:val="Caption"/>
      </w:pPr>
      <w:r>
        <w:drawing>
          <wp:inline xmlns:a="http://schemas.openxmlformats.org/drawingml/2006/main" xmlns:pic="http://schemas.openxmlformats.org/drawingml/2006/picture">
            <wp:extent cx="5486400" cy="4867507"/>
            <wp:docPr id="1" name="Picture 1"/>
            <wp:cNvGraphicFramePr>
              <a:graphicFrameLocks noChangeAspect="1"/>
            </wp:cNvGraphicFramePr>
            <a:graphic>
              <a:graphicData uri="http://schemas.openxmlformats.org/drawingml/2006/picture">
                <pic:pic>
                  <pic:nvPicPr>
                    <pic:cNvPr id="0" name="A 57006-2023 karta.png"/>
                    <pic:cNvPicPr/>
                  </pic:nvPicPr>
                  <pic:blipFill>
                    <a:blip r:embed="rId16"/>
                    <a:stretch>
                      <a:fillRect/>
                    </a:stretch>
                  </pic:blipFill>
                  <pic:spPr>
                    <a:xfrm>
                      <a:off x="0" y="0"/>
                      <a:ext cx="5486400" cy="48675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6521498, E 637979 i SWEREF 99 TM.</w:t>
      </w:r>
    </w:p>
    <w:p>
      <w:r>
        <w:t>I avverkningsanmälan finns fynd av 9 naturvårdsarter, varav 6 är rödlistade, 8 är fridlysta och 1 är signalart (S): tornseglare (VU, §4), enkelbeckasin (NT, §4), gulsparv (NT, §4), järnsparv (NT, §4), kricka (NT, §4), sädesärla (NT, §4), rödgul trumpetsvamp (S), svartvit flugsnappare (§4) och åkergroda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