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24092-2026 i Nyköpings kommun</w:t>
      </w:r>
    </w:p>
    <w:p>
      <w:r>
        <w:t>Denna tillsynsbegäran behandlar höga naturvärden i avverkningsanmälan A 24092-2026 i Nyköpings kommun som inkom 2026-05-24 och omfattar 5,4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A 24092-2026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6522596, E 608425 i SWEREF 99 TM.</w:t>
      </w:r>
    </w:p>
    <w:p>
      <w:r>
        <w:t>I och inom 8 meter från avverkningsanmälan finns fynd av 3 naturvårdsarter, varav 3 är typiska (T): blåbär (T), vildkaprifol (T) och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Vildkaprifol </w:t>
      </w:r>
      <w:r>
        <w:t xml:space="preserve">är typisk art för </w:t>
      </w:r>
      <w:r>
        <w:rPr>
          <w:i/>
        </w:rPr>
        <w:t>9190 Näringsfattig ekskog</w:t>
      </w:r>
      <w:r>
        <w:t>. Kaprifol är värdväxt för bland annat de rödlistade fjärilarna töcknig trymal (VU) och tryfjäril (NT) (SLU Artdatabanken, 2026).</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