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16133-2023 i Nyköpings kommun</w:t>
      </w:r>
    </w:p>
    <w:p>
      <w:r>
        <w:t>Detta dokument behandlar höga naturvärden i avverkningsanmälan A 16133-2023 i Nyköpings kommun. Denna avverkningsanmälan inkom 2023-04-11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barbastell (NT, §4a), brunlångöra (NT, §4a), nordfladdermus (NT, §4a), ärtsångare (NT, §4), dvärgpipistrell (§4a), gråskimlig fladdermus (§4a), större brunfladdermus (§4a) och vattenfladdermus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16133-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6515376, E 611943 i SWEREF 99 TM.</w:t>
      </w:r>
    </w:p>
    <w:p>
      <w:pPr>
        <w:pStyle w:val="Heading1"/>
      </w:pPr>
      <w:r>
        <w:t>Fridlysta arter</w:t>
      </w:r>
    </w:p>
    <w:p>
      <w:r>
        <w:t>Följande fridlysta arter har sina livsmiljöer och växtplatser i den avverkningsanmälda skogen: barbastell (NT, §4a), brunlångöra (NT, §4a), nordfladdermus (NT, §4a), ärtsångare (NT, §4), dvärgpipistrell (§4a), gråskimlig fladdermus (§4a), större brunfladdermus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