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52572-2025 i Nyköpings kommun</w:t>
      </w:r>
    </w:p>
    <w:p>
      <w:r>
        <w:t>Detta dokument behandlar höga naturvärden i avverkningsanmälan A 52572-2025 i Nyköpings kommun. Denna avverkningsanmälan inkom 2025-10-24 14:35:54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spetsnate (VU, §8) och grön aspvedbock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52572-2025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6511268, E 581431 i SWEREF 99 TM.</w:t>
      </w:r>
    </w:p>
    <w:p>
      <w:r>
        <w:rPr>
          <w:b/>
        </w:rPr>
        <w:t>Grön aspvedbock (NT)</w:t>
      </w:r>
      <w:r>
        <w:t xml:space="preserve"> är en skalbagge vars larvutveckling sker under tjock bark på nyligen döda stammar och grova grenar (&gt;5 cm diameter) av lövträd, i Sverige nästan uteslutande asp. Främsta hotet är bristen på gammal aspskog. Skogsbruket har under lång tid missgynnat asp, och det är idag på många håll ovanligt med gamla lövrika skogar. Inom skogsbruket bör man spara aspar vid röjning, gallring och slutavverkning, och därmed få andelen lövskog att öka i hela skogslandskapet. Bruket att ringbarka gamla aspar för att motverka rotskott bör upphöra (SLU Artdatabanken, 2024).</w:t>
      </w:r>
    </w:p>
    <w:p>
      <w:pPr>
        <w:pStyle w:val="Heading1"/>
      </w:pPr>
      <w:r>
        <w:t>Fridlysta arter</w:t>
      </w:r>
    </w:p>
    <w:p>
      <w:r>
        <w:t>Följande fridlysta arter har sina livsmiljöer och växtplatser i den avverkningsanmälda skogen: spetsnate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