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och inom 3 meter från avverkningsanmälan finns fynd av 7 naturvårdsarter, varav 2 är rödlistade, 4 är fridlysta, 4 är typiska (T) och 2 är signalarter (S): månlåsbräken (NT), talltita (NT, §4), blåmossa (S, T), mindre märgborre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