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65231-2023 i Nyköpings kommun</w:t>
      </w:r>
    </w:p>
    <w:p>
      <w:r>
        <w:t>Detta dokument behandlar höga naturvärden i avverkningsanmälan A 65231-2023 i Nyköpings kommun. Denna avverkningsanmälan inkom 2023-12-29 00:00:00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brun glada (EN,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6929"/>
            <wp:docPr id="1" name="Picture 1"/>
            <wp:cNvGraphicFramePr>
              <a:graphicFrameLocks noChangeAspect="1"/>
            </wp:cNvGraphicFramePr>
            <a:graphic>
              <a:graphicData uri="http://schemas.openxmlformats.org/drawingml/2006/picture">
                <pic:pic>
                  <pic:nvPicPr>
                    <pic:cNvPr id="0" name="A 65231-2023 karta.png"/>
                    <pic:cNvPicPr/>
                  </pic:nvPicPr>
                  <pic:blipFill>
                    <a:blip r:embed="rId16"/>
                    <a:stretch>
                      <a:fillRect/>
                    </a:stretch>
                  </pic:blipFill>
                  <pic:spPr>
                    <a:xfrm>
                      <a:off x="0" y="0"/>
                      <a:ext cx="5486400" cy="34769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6522866, E 608439 i SWEREF 99 TM.</w:t>
      </w:r>
    </w:p>
    <w:p>
      <w:pPr>
        <w:pStyle w:val="Heading1"/>
      </w:pPr>
      <w:r>
        <w:t>Fridlysta arter</w:t>
      </w:r>
    </w:p>
    <w:p>
      <w:r>
        <w:t>Följande fridlysta arter har sina livsmiljöer och växtplatser i den avverkningsanmälda skogen: brun glada (EN,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Brun glada (EN, §4)</w:t>
      </w:r>
      <w:r>
        <w:t xml:space="preserve"> är rödlistad som starkt hotad (EN) och upptagen i bilaga 1 EU:s fågeldirektiv. Den häckar i skogs- och odlingslandskap, både i större skogsområden och små dungar. Boet läggs ofta högt i ett träd, i södra Sverige oftast i ett lövträd, i norr vanligen i en tall eller gran. Det svenska beståndet är mycket litet och kan därmed försvinna av slumpmässiga faktorer som enstaka dåliga häckningssäsonger eller dödlighet under flyttning och övervintring. Kända häcklokaler måste uppmärksammas vid skogsbruksåtgärder och all påverkan på boplatsen och dess omgivningar undvikas. Spara samtliga träd med större risbon, även sådana där boet ser obebott ut och lämna en tillräckligt bred skyddszon kring boplatser vid avverkning eller andra skogliga åtgärder. Bredden beror på platsen, men som tumregel ska den ska vara så bred att boplatsen inte är väsentligt mer exponerad för insyn än tidigare (SLU Artdatabanken, 2024; Skogsstyrelsen, 2016).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