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14855-2026 i Nyköpings kommun</w:t>
      </w:r>
    </w:p>
    <w:p>
      <w:r>
        <w:t>Detta klagomål behandlar höga naturvärden i avverkningsanmälan A 14855-2026 i Nyköpings kommun som inkom 2026-03-23 och omfattar 3,5 ha.</w:t>
      </w:r>
    </w:p>
    <w:p>
      <w:pPr>
        <w:pStyle w:val="Caption"/>
      </w:pPr>
      <w:r>
        <w:drawing>
          <wp:inline xmlns:a="http://schemas.openxmlformats.org/drawingml/2006/main" xmlns:pic="http://schemas.openxmlformats.org/drawingml/2006/picture">
            <wp:extent cx="5486400" cy="5316492"/>
            <wp:docPr id="1" name="Picture 1"/>
            <wp:cNvGraphicFramePr>
              <a:graphicFrameLocks noChangeAspect="1"/>
            </wp:cNvGraphicFramePr>
            <a:graphic>
              <a:graphicData uri="http://schemas.openxmlformats.org/drawingml/2006/picture">
                <pic:pic>
                  <pic:nvPicPr>
                    <pic:cNvPr id="0" name="A 14855-2026 karta.png"/>
                    <pic:cNvPicPr/>
                  </pic:nvPicPr>
                  <pic:blipFill>
                    <a:blip r:embed="rId16"/>
                    <a:stretch>
                      <a:fillRect/>
                    </a:stretch>
                  </pic:blipFill>
                  <pic:spPr>
                    <a:xfrm>
                      <a:off x="0" y="0"/>
                      <a:ext cx="5486400" cy="5316492"/>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6515285, E 607738 i SWEREF 99 TM.</w:t>
      </w:r>
    </w:p>
    <w:p>
      <w:r>
        <w:t>I avverkningsanmälan finns fynd av 4 naturvårdsarter, varav 2 är rödlistade, 1 är fridlyst, 2 är typiska (T) och 1 är signalart (S): dropptaggsvamp (NT, T), Phellodon aquiloniniger (NT), grönpyrola (S, T) och vanlig padda (§6).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i/>
        </w:rPr>
        <w:t xml:space="preserve">Phellodon aquiloniniger </w:t>
      </w:r>
      <w:r>
        <w:rPr>
          <w:b/>
        </w:rPr>
        <w:t xml:space="preserve">(NT) </w:t>
      </w:r>
      <w:r>
        <w:t>är en taggsvamp som bildar mykorrhiza med tall, eventuellt även med gran, i sandtallskog och annan näringsfattig äldre tallskog och barrblandskog. Den totala populationen i landet bedöms ha minskat och förväntas fortsätta minska på grund av slutavverkning av äldre barrskog och kontinuitetsskog. Arten har begränsad förmåga att återetablera sig efter slutavverkning eller andra storskaliga skogsbruksåtgärder, och det finns inga indikationer på att den långsiktigt kan etablera eller reproducera sig i bestånd som brukas med trakthyggesmetoder, markberedning, gödsling eller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(SLU Artdatabanken, 2026).</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