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som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2"/>
      </w:pPr>
      <w:r>
        <w:t>Fridlysta arter</w:t>
      </w:r>
    </w:p>
    <w:p>
      <w:r>
        <w:t>Följande fridlysta arter har sina livsmiljöer och växtplatser i den avverkningsanmälda skogen: blå kärrhök (VU, §4), entita (NT, T, §4), talltita (NT, §4), blåsippa (T, §9), fjällvråk (§4), gröngöling (§4), svartvit flugsnappare (§4), ärtsångare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