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215-2024 i Oxelösunds kommun</w:t>
      </w:r>
    </w:p>
    <w:p>
      <w:r>
        <w:t>Detta klagomål behandlar höga naturvärden i samrådsanmälan S 215-2024 i Oxelösunds kommun som inkom 2024-01-25 och omfattar 3,3 ha.</w:t>
      </w:r>
    </w:p>
    <w:p>
      <w:pPr>
        <w:pStyle w:val="Caption"/>
      </w:pPr>
      <w:r>
        <w:drawing>
          <wp:inline xmlns:a="http://schemas.openxmlformats.org/drawingml/2006/main" xmlns:pic="http://schemas.openxmlformats.org/drawingml/2006/picture">
            <wp:extent cx="5486400" cy="4820478"/>
            <wp:docPr id="1" name="Picture 1"/>
            <wp:cNvGraphicFramePr>
              <a:graphicFrameLocks noChangeAspect="1"/>
            </wp:cNvGraphicFramePr>
            <a:graphic>
              <a:graphicData uri="http://schemas.openxmlformats.org/drawingml/2006/picture">
                <pic:pic>
                  <pic:nvPicPr>
                    <pic:cNvPr id="0" name="S 215-2024 karta.png"/>
                    <pic:cNvPicPr/>
                  </pic:nvPicPr>
                  <pic:blipFill>
                    <a:blip r:embed="rId16"/>
                    <a:stretch>
                      <a:fillRect/>
                    </a:stretch>
                  </pic:blipFill>
                  <pic:spPr>
                    <a:xfrm>
                      <a:off x="0" y="0"/>
                      <a:ext cx="5486400" cy="482047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6505049, E 619567 i SWEREF 99 TM.</w:t>
      </w:r>
    </w:p>
    <w:p>
      <w:r>
        <w:t>I samrådsanmälan finns fynd av 6 naturvårdsarter, varav 3 är rödlistade, 3 är fridlysta, 2 är typiska (T) och 1 är signalart (S): björktrast (NT, §4), korallticka (NT), oxtungssvamp (NT), gulpudrad spiklav (S, T), stjärtmes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