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25118-2026 i Flens kommun</w:t>
      </w:r>
    </w:p>
    <w:p>
      <w:r>
        <w:t>Denna tillsynsbegäran behandlar höga naturvärden i avverkningsanmälan A 25118-2026 i Flens kommun som inkom 2026-06-02 och omfattar 11,5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25118-2026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6559149, E 591202 i SWEREF 99 TM.</w:t>
      </w:r>
    </w:p>
    <w:p>
      <w:r>
        <w:t>I avverkningsanmälan finns fynd av 15 naturvårdsarter, varav 3 är rödlistade, 4 är fridlysta, 12 är typiska (T) och 1 är signalart (S): knärot (VU, T, §8), talltita (NT, §4), vedskivlav (NT, T), grönpyrola (S, T), blåbär (T), ekbräken (T), ekorrbär (T), hultbräken (T), missne (T), sälg (T), timmerticka (T), vitsippa (T), ängskovall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50958"/>
            <wp:docPr id="2" name="Picture 2"/>
            <wp:cNvGraphicFramePr>
              <a:graphicFrameLocks noChangeAspect="1"/>
            </wp:cNvGraphicFramePr>
            <a:graphic>
              <a:graphicData uri="http://schemas.openxmlformats.org/drawingml/2006/picture">
                <pic:pic>
                  <pic:nvPicPr>
                    <pic:cNvPr id="0" name="A 25118-2026 karta knärot.png"/>
                    <pic:cNvPicPr/>
                  </pic:nvPicPr>
                  <pic:blipFill>
                    <a:blip r:embed="rId17"/>
                    <a:stretch>
                      <a:fillRect/>
                    </a:stretch>
                  </pic:blipFill>
                  <pic:spPr>
                    <a:xfrm>
                      <a:off x="0" y="0"/>
                      <a:ext cx="5486400" cy="49509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6559149, E 591202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Ekbräken </w:t>
      </w:r>
      <w:r>
        <w:t xml:space="preserve">är typisk art för </w:t>
      </w:r>
      <w:r>
        <w:rPr>
          <w:i/>
        </w:rPr>
        <w:t>9050 Näringsrik granskog</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 xml:space="preserve">Hultbräken </w:t>
      </w:r>
      <w:r>
        <w:t xml:space="preserve">är typisk art för </w:t>
      </w:r>
      <w:r>
        <w:rPr>
          <w:i/>
        </w:rPr>
        <w:t xml:space="preserve">9050 Näringsrik granskog </w:t>
      </w:r>
      <w:r>
        <w:t>(SLU Artdatabanken, 2025).</w:t>
      </w:r>
    </w:p>
    <w:p>
      <w:r>
        <w:rPr>
          <w:b/>
        </w:rPr>
        <w:t>Missne</w:t>
      </w:r>
      <w:r>
        <w:t xml:space="preserve"> är typisk art för </w:t>
      </w:r>
      <w:r>
        <w:rPr>
          <w:i/>
        </w:rPr>
        <w:t xml:space="preserve">9750 Svämlövskog, 9080 Lövsumpskog och 9760 Svämädellövskog </w:t>
      </w:r>
      <w:r>
        <w:t>(SLU Artdatabanken, 2025).</w:t>
      </w:r>
    </w:p>
    <w:p>
      <w:r>
        <w:rPr>
          <w:b/>
        </w:rPr>
        <w:t xml:space="preserve">Sälg </w:t>
      </w:r>
      <w:r>
        <w:t xml:space="preserve">är typisk art för </w:t>
      </w:r>
      <w:r>
        <w:rPr>
          <w:i/>
        </w:rPr>
        <w:t xml:space="preserve">9040 Fjällbjörkskog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Vitsippa</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vedskivlav (NT, T), grönpyrola (S, T), blåbär (T), ekbräken (T), ekorrbär (T), hultbräken (T), missne (T), sälg (T), timmerticka (T), vitsippa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