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21004-2025 i Flens kommun</w:t>
      </w:r>
    </w:p>
    <w:p>
      <w:r>
        <w:t>Denna tillsynsbegäran behandlar höga naturvärden i avverkningsanmälan A 21004-2025 i Flens kommun som inkom 2025-04-30 och omfattar 1,8 ha.</w:t>
      </w:r>
    </w:p>
    <w:p>
      <w:pPr>
        <w:pStyle w:val="Caption"/>
      </w:pPr>
      <w:r>
        <w:drawing>
          <wp:inline xmlns:a="http://schemas.openxmlformats.org/drawingml/2006/main" xmlns:pic="http://schemas.openxmlformats.org/drawingml/2006/picture">
            <wp:extent cx="5486400" cy="4775619"/>
            <wp:docPr id="1" name="Picture 1"/>
            <wp:cNvGraphicFramePr>
              <a:graphicFrameLocks noChangeAspect="1"/>
            </wp:cNvGraphicFramePr>
            <a:graphic>
              <a:graphicData uri="http://schemas.openxmlformats.org/drawingml/2006/picture">
                <pic:pic>
                  <pic:nvPicPr>
                    <pic:cNvPr id="0" name="A 21004-2025 karta.png"/>
                    <pic:cNvPicPr/>
                  </pic:nvPicPr>
                  <pic:blipFill>
                    <a:blip r:embed="rId16"/>
                    <a:stretch>
                      <a:fillRect/>
                    </a:stretch>
                  </pic:blipFill>
                  <pic:spPr>
                    <a:xfrm>
                      <a:off x="0" y="0"/>
                      <a:ext cx="5486400" cy="477561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6564333, E 604288 i SWEREF 99 TM.</w:t>
      </w:r>
    </w:p>
    <w:p>
      <w:r>
        <w:t>Inom 24 meter från avverkningsanmälan finns fynd av 4 naturvårdsarter, varav 3 är rödlistade, 1 är typisk (T) och 1 är signalart (S): ask (EN), parknål (NT), tallticka (NT, T) och brun nållav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Parknål (NT) </w:t>
      </w:r>
      <w:r>
        <w:t>växer söder om Dalälven på gamla ädellövträd och i norra Sverige på mycket gamla sälgar i skogar med hög och jämn luftfuktighet. Ofta förekommer den tillsammans med andra rödlistade knappnålslavar. Lämpliga träd nyskapas i begränsad omfattning. Spara grova träd, restaurera hag- och slåttermarker och öppna runt grova ekar som nu är kraftigt beskuggade. Förekomsterna i norra Sverige måste skyddas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