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och fridlysta arter i avverkningsanmälan A 13230-2023 i Flens kommun</w:t>
      </w:r>
    </w:p>
    <w:p>
      <w:r>
        <w:t>Denna tillsynsbegäran behandlar höga naturvärden i avverkningsanmälan A 13230-2023 i Flens kommun som inkom 2023-03-17 och omfattar 7,8 ha.</w:t>
      </w:r>
    </w:p>
    <w:p>
      <w:pPr>
        <w:pStyle w:val="Caption"/>
      </w:pPr>
      <w:r>
        <w:drawing>
          <wp:inline xmlns:a="http://schemas.openxmlformats.org/drawingml/2006/main" xmlns:pic="http://schemas.openxmlformats.org/drawingml/2006/picture">
            <wp:extent cx="5486400" cy="4573885"/>
            <wp:docPr id="1" name="Picture 1"/>
            <wp:cNvGraphicFramePr>
              <a:graphicFrameLocks noChangeAspect="1"/>
            </wp:cNvGraphicFramePr>
            <a:graphic>
              <a:graphicData uri="http://schemas.openxmlformats.org/drawingml/2006/picture">
                <pic:pic>
                  <pic:nvPicPr>
                    <pic:cNvPr id="0" name="A 13230-2023 karta.png"/>
                    <pic:cNvPicPr/>
                  </pic:nvPicPr>
                  <pic:blipFill>
                    <a:blip r:embed="rId16"/>
                    <a:stretch>
                      <a:fillRect/>
                    </a:stretch>
                  </pic:blipFill>
                  <pic:spPr>
                    <a:xfrm>
                      <a:off x="0" y="0"/>
                      <a:ext cx="5486400" cy="4573885"/>
                    </a:xfrm>
                    <a:prstGeom prst="rect"/>
                  </pic:spPr>
                </pic:pic>
              </a:graphicData>
            </a:graphic>
          </wp:inline>
        </w:drawing>
      </w:r>
    </w:p>
    <w:p>
      <w:pPr>
        <w:pStyle w:val="Caption"/>
        <w:spacing w:after="240"/>
      </w:pPr>
      <w:r>
        <w:t>Figur 1. Fyndplatser för naturvårdsarter i och inom 1 meter från avverkningsanmälan. Markörer utan svart kant är placerade på fyndplatsen. Markörer med svart kant är placerade vid sidan av fyndplatsen och har ett svart streck som visar fyndplatsens exakta position. Kartans mittpunktskoordinat är N 6546788, E 593047 i SWEREF 99 TM.</w:t>
      </w:r>
    </w:p>
    <w:p>
      <w:r>
        <w:t>I och inom 1 meter från avverkningsanmälan finns fynd av 6 naturvårdsarter, varav 1 är fridlyst, 4 är typiska (T) och 4 är signalarter (S): källpraktmossa (S, T), stor aspticka (S, T), thomsons trägnagare (S), vågbandad barkbock (S), blåsippa (T, §9) och glansfläck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 xml:space="preserve">Källpraktmossa </w:t>
      </w:r>
      <w:r>
        <w:t xml:space="preserve">växer på fuktig eller blöt, näringsrik och ofta mineralrik mark, t.ex. i sumpskogar. Den är en god signalart i södra och mellersta Sverige och förekommer ofta i artrika miljöer med t.ex. kärrkammossa, bågpraktmossa, filtrundmossa och skogshakmossa. Eftersom mängden våtmarker har reducerats kraftigt i södra Sverige under det senaste seklet har förekomsten av källpraktmossa troligen minskat i söder. Källpraktmossa är typisk art för </w:t>
      </w:r>
      <w:r>
        <w:rPr>
          <w:i/>
        </w:rPr>
        <w:t xml:space="preserve">7160 Källor och källkärr, 9750 Svämlövskog </w:t>
      </w:r>
      <w:r>
        <w:t>och</w:t>
      </w:r>
      <w:r>
        <w:rPr>
          <w:i/>
        </w:rPr>
        <w:t xml:space="preserve"> 9080 Lövsumpskog </w:t>
      </w:r>
      <w:r>
        <w:t>(Nitare &amp; Skogsstyrelsen, 2019; SLU Artdatabanken, 2025).</w:t>
      </w:r>
    </w:p>
    <w:p>
      <w:r>
        <w:rPr>
          <w:b/>
        </w:rPr>
        <w:t>Stor aspticka</w:t>
      </w:r>
      <w:r>
        <w:t xml:space="preserve"> är knuten till gamla levande aspar och orsakar karaktäristiska inbuktningar i stammen (så kallad nekroser). Slutavverknings- och gallringsåtgärder i löv- och blandskogsbestånd som innebär att tillgången på grov asp minskar är ett hot mot arten. Det är viktigt att äldre aspar och aspbestånd sparas och för att gynna arten på sikt bör aspinslagen i t.ex. bergbranter, raviner, skogsbryn och kring äldre odlingsmarker generellt sparas i större utsträckning än vad som görs idag. Stor aspticka är typisk art för </w:t>
      </w:r>
      <w:r>
        <w:rPr>
          <w:i/>
        </w:rPr>
        <w:t xml:space="preserve">9010 Taiga </w:t>
      </w:r>
      <w:r>
        <w:t xml:space="preserve">och </w:t>
      </w:r>
      <w:r>
        <w:rPr>
          <w:i/>
        </w:rPr>
        <w:t>9030 Landhöjningsskog</w:t>
      </w:r>
      <w:r>
        <w:t xml:space="preserve"> (SLU Artdatabanken, 2024; Nitare &amp; Skogsstyrelsen, 2019).</w:t>
      </w:r>
    </w:p>
    <w:p>
      <w:r>
        <w:rPr>
          <w:b/>
        </w:rPr>
        <w:t xml:space="preserve">Vågbandad barkbock </w:t>
      </w:r>
      <w:r>
        <w:t>är en långhorning vars larvutveckling sker under bark på nyligen döda stående barrträd, främst gran, mer undantagsvis på tall. Främst i stående träd, särskilt gamla, långsamvuxna granar med grov bark, även i grövre grenar, stubbar eller vindfällen. Arten är starkt knuten till naturskogsliknande granskogar, och gynnas av extrema torrsomrar som försvagar träden. Arten påverkas negativt av brist på kontinuitetsskog och en minskning av populationen pågår eller förväntas ske (SLU Artdatabanken, 2025).</w:t>
      </w:r>
    </w:p>
    <w:p>
      <w:r>
        <w:rPr>
          <w:b/>
        </w:rPr>
        <w:t>Blåsippa (§9)</w:t>
      </w:r>
      <w:r>
        <w:t xml:space="preserve"> är typisk art för </w:t>
      </w:r>
      <w:r>
        <w:rPr>
          <w:i/>
        </w:rPr>
        <w:t>9050 Näringsrik granskog, 9020 Nordlig ädellövskog</w:t>
      </w:r>
      <w:r>
        <w:t xml:space="preserve"> och </w:t>
      </w:r>
      <w:r>
        <w:rPr>
          <w:i/>
        </w:rPr>
        <w:t>8240 Karsthällmarker</w:t>
      </w:r>
      <w:r>
        <w:t xml:space="preserve"> (SLU Artdatabanken, 2025).</w:t>
      </w:r>
    </w:p>
    <w:p>
      <w:r>
        <w:rPr>
          <w:b/>
        </w:rPr>
        <w:t>Glansfläck</w:t>
      </w:r>
      <w:r>
        <w:t xml:space="preserve"> signalerar skyddsvärda lövträdsbestånd som ofta hyser ett flertal rödlistade lavar. Många växtplatser har långvarig trädkontinuitet. Laven indikerar främst miljöer med konstant hög och jämn luftfuktighet och ostörda markvattenförhållanden. Glansfläck är typisk art för </w:t>
      </w:r>
      <w:r>
        <w:rPr>
          <w:i/>
        </w:rPr>
        <w:t>9190 Näringsfattig ekskog</w:t>
      </w:r>
      <w:r>
        <w:t xml:space="preserve"> (Nitare &amp; Skogsstyrelsen, 2000; SLU Artdatabanken, 2025).</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2026-10-16</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