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33872-2021 i Flens kommun</w:t>
      </w:r>
    </w:p>
    <w:p>
      <w:r>
        <w:t>Detta dokument behandlar höga naturvärden i avverkningsanmälan A 33872-2021 i Flens kommun. Denna avverkningsanmälan inkom 2021-07-01 00:00:00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druvfingersvampar (NT), blåmossa (S), fjällig taggsvamp s.str. (S), grovticka (S), grön sköldmossa (S, §8), grönpyrola (S), jättesvampmal (S) och kamjordstjärna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33872-2021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6549660, E 597787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Druvfingersvampar </w:t>
      </w:r>
      <w:r>
        <w:t>utgör ett artkomplex</w:t>
      </w:r>
      <w:r>
        <w:rPr>
          <w:b/>
        </w:rPr>
        <w:t xml:space="preserve"> </w:t>
      </w:r>
      <w:r>
        <w:t xml:space="preserve">med en liten grupp rödlistade och snarlika arter; </w:t>
      </w:r>
      <w:r>
        <w:rPr>
          <w:i/>
        </w:rPr>
        <w:t>Ramaria parabotrytis</w:t>
      </w:r>
      <w:r>
        <w:t xml:space="preserve"> (EN), </w:t>
      </w:r>
      <w:r>
        <w:rPr>
          <w:i/>
        </w:rPr>
        <w:t>Ramaria aff. Strasseri</w:t>
      </w:r>
      <w:r>
        <w:t xml:space="preserve"> (EN), </w:t>
      </w:r>
      <w:r>
        <w:rPr>
          <w:i/>
        </w:rPr>
        <w:t>Ramaria aff. Rubrievanescens</w:t>
      </w:r>
      <w:r>
        <w:t xml:space="preserve"> (VU), </w:t>
      </w:r>
      <w:r>
        <w:rPr>
          <w:i/>
        </w:rPr>
        <w:t>Ramaria flavissima</w:t>
      </w:r>
      <w:r>
        <w:t xml:space="preserve"> (NT) och </w:t>
      </w:r>
      <w:r>
        <w:rPr>
          <w:i/>
        </w:rPr>
        <w:t>Ramaria botrytis</w:t>
      </w:r>
      <w:r>
        <w:t xml:space="preserve"> (NT). Arterna växer i skogar med lång skoglig kontinuitet och uppträder gärna på ytor med tunna humuslager och blottad mineraljord, t.ex. i sluttningar eller i närheten av stigar. Druvfingersvamparna är placerade högst upp i Skogsstyrelsens värdepyramid för bedömning av skog med höga naturvärden och all form av skogsavverkning innebär hot. De tål inte en slutavverkning och lokalerna bör undantas från rationella skogsbruksmetoder och inkluderas i formellt skyddad skog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7652273"/>
            <wp:docPr id="2" name="Picture 2"/>
            <wp:cNvGraphicFramePr>
              <a:graphicFrameLocks noChangeAspect="1"/>
            </wp:cNvGraphicFramePr>
            <a:graphic>
              <a:graphicData uri="http://schemas.openxmlformats.org/drawingml/2006/picture">
                <pic:pic>
                  <pic:nvPicPr>
                    <pic:cNvPr id="0" name="A 33872-2021 karta knärot.png"/>
                    <pic:cNvPicPr/>
                  </pic:nvPicPr>
                  <pic:blipFill>
                    <a:blip r:embed="rId17"/>
                    <a:stretch>
                      <a:fillRect/>
                    </a:stretch>
                  </pic:blipFill>
                  <pic:spPr>
                    <a:xfrm>
                      <a:off x="0" y="0"/>
                      <a:ext cx="5486400" cy="76522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6549660, E 597787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