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samrådsanmälan S 4711-2021 i Flens kommun</w:t>
      </w:r>
    </w:p>
    <w:p>
      <w:r>
        <w:t>Denna tillsynsbegäran behandlar höga naturvärden i samrådsanmälan S 4711-2021 i Flens kommun som inkom 2021-08-02 och omfattar 0,7 ha.</w:t>
      </w:r>
    </w:p>
    <w:p>
      <w:pPr>
        <w:pStyle w:val="Caption"/>
      </w:pPr>
      <w:r>
        <w:drawing>
          <wp:inline xmlns:a="http://schemas.openxmlformats.org/drawingml/2006/main" xmlns:pic="http://schemas.openxmlformats.org/drawingml/2006/picture">
            <wp:extent cx="5486400" cy="5708873"/>
            <wp:docPr id="1" name="Picture 1"/>
            <wp:cNvGraphicFramePr>
              <a:graphicFrameLocks noChangeAspect="1"/>
            </wp:cNvGraphicFramePr>
            <a:graphic>
              <a:graphicData uri="http://schemas.openxmlformats.org/drawingml/2006/picture">
                <pic:pic>
                  <pic:nvPicPr>
                    <pic:cNvPr id="0" name="S 4711-2021 karta.png"/>
                    <pic:cNvPicPr/>
                  </pic:nvPicPr>
                  <pic:blipFill>
                    <a:blip r:embed="rId16"/>
                    <a:stretch>
                      <a:fillRect/>
                    </a:stretch>
                  </pic:blipFill>
                  <pic:spPr>
                    <a:xfrm>
                      <a:off x="0" y="0"/>
                      <a:ext cx="5486400" cy="5708873"/>
                    </a:xfrm>
                    <a:prstGeom prst="rect"/>
                  </pic:spPr>
                </pic:pic>
              </a:graphicData>
            </a:graphic>
          </wp:inline>
        </w:drawing>
      </w:r>
    </w:p>
    <w:p>
      <w:pPr>
        <w:pStyle w:val="Caption"/>
        <w:spacing w:after="240"/>
      </w:pPr>
      <w:r>
        <w:t>Figur 1. Fyndplatser för naturvårdsarter i och inom 24 meter från samrådsanmälan. Markörer utan svart kant är placerade på fyndplatsen. Markörer med svart kant är placerade vid sidan av fyndplatsen har ett svart streck som visar fyndplatsens exakta position. Kartans mittpunktskoordinat är N 6549453, E 597753 i SWEREF 99 TM.</w:t>
      </w:r>
    </w:p>
    <w:p>
      <w:r>
        <w:t>I och inom 24 meter från samrådsanmälan finns fynd av 7 naturvårdsarter, varav 3 är rödlistade, 2 är fridlysta, 4 är typiska (T) och 4 är signalarter (S): bombmurkla (EN, §8), fyrflikig jordstjärna (NT, T), skarp dropptaggsvamp (NT), grovticka (S, T), grön sköldmossa (S, T, §8), grönpyrola (S, T) och kamjordstjärna (S).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samrådsanmälan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samrådsanmälda skogen. Se även ytterligare artfakta i BILAGA 1. De påträffade naturvårdsarterna är ett tydligt kvitto på att det rör sig om en skog med höga naturvärden.</w:t>
      </w:r>
    </w:p>
    <w:p>
      <w:r>
        <w:rPr>
          <w:b/>
        </w:rPr>
        <w:t xml:space="preserve">Bombmurkla (EN, §8) </w:t>
      </w:r>
      <w:r>
        <w:t>är en starkt hotad art som</w:t>
      </w:r>
      <w:r>
        <w:rPr>
          <w:b/>
        </w:rPr>
        <w:t xml:space="preserve"> </w:t>
      </w:r>
      <w:r>
        <w:t>indikerar en speciell och hotad granskogstyp på naturligt näringsrika sandjordar. Den tål inte slutavverkning eller kraftig gallring och är endast påträffad i områden som har långvarig skogskontinuitet med gran. Minskningstakten för arten, som är placerad högst upp i Skogsstyrelsens värdepyramid för bedömning av skog med höga naturvärden, överstiger gränsvärdet för Starkt hotad (EN). Bombmurkla är fridlyst enligt 8 § artskyddsförordningen, omfattas av ett åtgärdsprogram för hotade arter (ÅGP) och är globalt rödlistad som nära hotad (NT). Sverige har ojämförligt flest växtplatser kvar av den europeiska populationen, vilket medför att vårt land har ett internationellt ansvar för artens fortlevnad (IUCN, 2024; SLU Artdatabanken, 2026; Nitare &amp; Skogsstyrelsen, 2019; Naturvårdsverket, 2010).</w:t>
      </w:r>
    </w:p>
    <w:p>
      <w:r>
        <w:rPr>
          <w:b/>
        </w:rPr>
        <w:t xml:space="preserve">Fyrflikig jordstjärna (NT) </w:t>
      </w:r>
      <w:r>
        <w:t xml:space="preserve">är en nedbrytare i löv- eller barrförna i skogsmark på väl dränerade och mer eller mindre kalkrika jordar. Den är främst funnen i örtrika gamla barrskogar, med eller utan lövträdsinslag, där den växer i nakna eller mosstäckta välutvecklade barrmattor, under gran, tall, en och ibland idegran. Artens växtplatser, och även den närliggande skogsmiljön kring växtplatserna, bör undantas från slutavverkning och genomgripande gallringar. Fyrflikig jordstjärna är typisk art för </w:t>
      </w:r>
      <w:r>
        <w:rPr>
          <w:i/>
        </w:rPr>
        <w:t>9050 Näringsrik granskog</w:t>
      </w:r>
      <w:r>
        <w:t xml:space="preserve"> (SLU Artdatabanken, 2024).</w:t>
      </w:r>
    </w:p>
    <w:p>
      <w:r>
        <w:rPr>
          <w:b/>
        </w:rPr>
        <w:t xml:space="preserve">Skarp dropptaggsvamp (NT) </w:t>
      </w:r>
      <w:r>
        <w:t>bildar mykorrhiza med både gran och tall, främst i barrskogar med trädkontinuitet. Arten uppträder dels i näringsrik kalkbarrskog och dels i sur lavtallskog. Kalkbarrskogarna är ofta grandominerade, olikåldriga och skiktade på frisk mark med ett örtrikt vegetationsskikt. Lavtallskogarna är i regel magra, torra, ljusöppna och ofta brandpräglade. Den totala populationen i landet har minskat och bedöms fortsätta minska till följd av avverkning av äldre barrskogar. Arten har begränsad förmåga att återetablera sig efter slutavverkning eller andra storskaliga skogsbruksåtgärder. Det saknas indikationer på att arten långsiktigt kan etablera eller reproducera sig i skogsbestånd som brukas med metoder som trakthyggesbruk, markberedning, gödsling eller föryngring med förädlat plantmaterial. Minskningstakten för den svenska populationen bedöms vara nära gränsvärdet för Sårbar (VU) (SLU Artdatabanken, 2026).</w:t>
      </w:r>
    </w:p>
    <w:p>
      <w:r>
        <w:rPr>
          <w:b/>
        </w:rPr>
        <w:t>Grovticka</w:t>
      </w:r>
      <w:r>
        <w:t xml:space="preserve"> är i skogslandskapet främst knuten till naturskogsartad äldre barrskog. Den är där en värdefull ”gammelskogsindikator” och påträffas mest vid tallar som är över 200 år gamla.  Grovticka är typisk art för </w:t>
      </w:r>
      <w:r>
        <w:rPr>
          <w:i/>
        </w:rPr>
        <w:t xml:space="preserve">9060 Åsbarrskog </w:t>
      </w:r>
      <w:r>
        <w:t>(Nitare &amp; Skogsstyrelsen, 2019; SLU Artdatabanken, 2025).</w:t>
      </w:r>
    </w:p>
    <w:p>
      <w:r>
        <w:rPr>
          <w:b/>
        </w:rPr>
        <w:t>Grön sköldmossa (§8)</w:t>
      </w:r>
      <w:r>
        <w:t xml:space="preserve"> är typisk art för </w:t>
      </w:r>
      <w:r>
        <w:rPr>
          <w:i/>
        </w:rPr>
        <w:t xml:space="preserve">9010 Taiga </w:t>
      </w:r>
      <w:r>
        <w:t>och</w:t>
      </w:r>
      <w:r>
        <w:rPr>
          <w:i/>
        </w:rPr>
        <w:t xml:space="preserve"> 9750 Svämlövskog</w:t>
      </w:r>
      <w:r>
        <w:t xml:space="preserve"> och omfattas av EU:s art- och habitatdirektiv bilaga 2 vilket innebär att det finns ett uttalat intresse inom Europeiska unionen att bevara arten. Grön sköldmossa kräver skog som har ett speciellt mikroklimat med hög och jämn luftfuktighet i kombination med rik tillgång på död ved (Nitare &amp; Skogsstyrelsen, 2019; SLU Artdatabanken, 2025). I praktiken handlar det om åtminstone 50 meter med skyddande skog för att undvika uttorkning av marken (Hallingbäck, personligt meddelande 2022-02-24). Grön sköldmossa är en ansvarsart för Sverige då en särskilt stor andel av Europas population finns i landet. Mark- och miljööverdomstolen (MÖD) har i mål nr M 2019-20 (18 februari 2019) slagit fast att grön sköldmossa (§8) är dispenspliktig och att exemplar av arten inte får skadas utan dispens (MÖD, mål nr M 2019-20).</w:t>
      </w:r>
    </w:p>
    <w:p>
      <w:r>
        <w:rPr>
          <w:b/>
        </w:rPr>
        <w:t xml:space="preserve">Grönpyrola </w:t>
      </w:r>
      <w:r>
        <w:t xml:space="preserve">växer främst på sandig, torr eller frisk mark i äldre barrskog, ofta på isälvsmaterial såsom sand och grus. Den påträffas främst i äldre naturligt uppkomna barrskogar, exempelvis på tallmoar, i åssluttningar, dyner och rasbranter. Arten är känslig för skogsbruksmetoder såsom slutavverkning och markberedning. Grönpyrola är typisk art för </w:t>
      </w:r>
      <w:r>
        <w:rPr>
          <w:i/>
        </w:rPr>
        <w:t>9010 Taiga, 9060 Åsbarrskog</w:t>
      </w:r>
      <w:r>
        <w:t xml:space="preserve"> och</w:t>
      </w:r>
      <w:r>
        <w:rPr>
          <w:i/>
        </w:rPr>
        <w:t xml:space="preserve"> 1610 Åsöar i Östersjön </w:t>
      </w:r>
      <w:r>
        <w:t>(Nitare &amp; Skogsstyrelsen, 2019; SLU Artdatabanken, 2025).</w:t>
      </w:r>
    </w:p>
    <w:p>
      <w:r>
        <w:br w:type="page"/>
      </w:r>
    </w:p>
    <w:p>
      <w:pPr>
        <w:pStyle w:val="Title"/>
      </w:pPr>
      <w:r>
        <w:t>BILAGA 1 – Fridlysta arter</w:t>
      </w:r>
    </w:p>
    <w:p>
      <w:pPr>
        <w:pStyle w:val="Heading1"/>
      </w:pPr>
      <w:r>
        <w:t>Grön sköldmossa – ekologi samt krav på livsmiljön</w:t>
      </w:r>
    </w:p>
    <w:p>
      <w:r>
        <w:t>Grön sköldmossa (§8) växer på stubbar och lågor av olika trädslag, huvudsakligen i sena nedbrytningsstadier. Den förekommer främst i näringsrika granskogar med stort inslag av löv, arten är kortlivad och antalet kapslar varierar kraftigt mellan olika år. Grön sköldmossa kräver skog som har ett speciellt mikroklimat med hög och jämn luftfuktighet i kombination med rik tillgång på död ved (SLU Artdatabanken, 2021; Nitare &amp; Skogsstyrelsen, 2019).</w:t>
      </w:r>
    </w:p>
    <w:p>
      <w:r>
        <w:t>Arten har sin huvudutbredning i sydöstra Sverige. Allvarligaste hoten är skogsavverkning och brist på död ved. Brist på naturligt döda träd i dagens produktionsskogar gör att arten blir allt sällsyntare (Hallingbäck, 2016). Död ved i större mängd bör lämnas och träd tillåtas åldras och dö för att skapa kontinuerlig tillgång på livsmiljöer. Träd och livsmiljö bör skyddas genom att lämna trädgrupper, ytor eller zoner (SLU Artdatabanken, 2021). I praktiken handlar det om åtminstone 50 meter med skyddande skog för att undvika uttorkning av marken (Hallingbäck, personligt meddelande 2022-02-24).</w:t>
      </w:r>
    </w:p>
    <w:p>
      <w:r>
        <w:t xml:space="preserve">Grön sköldmossa är typisk art för </w:t>
      </w:r>
      <w:r>
        <w:rPr>
          <w:i/>
        </w:rPr>
        <w:t xml:space="preserve">9010 Taiga </w:t>
      </w:r>
      <w:r>
        <w:t>och</w:t>
      </w:r>
      <w:r>
        <w:rPr>
          <w:i/>
        </w:rPr>
        <w:t xml:space="preserve"> 9750 Svämlövskog</w:t>
      </w:r>
      <w:r>
        <w:t>, fridlyst enligt 8§ artskyddsförordningen och upptagen i EU:s Habitatdirektiv bilaga 2 vilket innebär att det finns ett uttalat intresse inom Europeiska unionen att bevara arten. Grön sköldmossa är en ansvarsart för Sverige då en särskilt stor andel av Europas population finns i landet. Förutom i östra Sverige har arten inga större sammanhängande utbredningar med gynnsam bevarandestatus söderut i Europa förrän i Montenegro. Det finns enbart liten förekomst med gynnsam regional bevarandestatus i södra Frankrike och södra Polen. Fridlysningen enligt §§ 8 och 15 Artskyddsförordningen innebär att det är förbjudet att på något sätt skada exemplar av arten, se artskyddsförordningen (2007:845):</w:t>
      </w:r>
    </w:p>
    <w:p>
      <w:pPr>
        <w:pStyle w:val="ListBullet"/>
      </w:pPr>
      <w:r>
        <w:t>8 § I fråga om sådana vilt levande kärlväxter, mossor, lavar, svampar och alger som anges i bilaga 2 till denna förordning är det förbjudet att i den omfattning som framgår av bilagan 1. plocka, gräva upp eller på annat sätt ta bort eller skada exemplar av växterna, och 2. ta bort eller skada frön eller andra delar.</w:t>
      </w:r>
    </w:p>
    <w:p>
      <w:pPr>
        <w:pStyle w:val="ListBullet"/>
      </w:pPr>
      <w:r>
        <w:t>15 § Länsstyrelsen får i det enskilda fallet ge dispens från förbuden i 6, 8 och 9 §§ som avser länet eller del av länet, om det inte finns någon annan lämplig lösning och dispensen inte försvårar upprätthållandet av en gynnsam bevarandestatus hos artens bestånd i dess naturliga utbredningsområde.</w:t>
      </w:r>
    </w:p>
    <w:p>
      <w:r>
        <w:t>Grön sköldmossa är även listad som B i Artskyddsförordningen vilket innebär att den är en art av unionsintresse:</w:t>
      </w:r>
    </w:p>
    <w:p>
      <w:pPr>
        <w:pStyle w:val="ListBullet"/>
      </w:pPr>
      <w:r>
        <w:t>B: Arten har enligt fågeldirektivet eller art- och habitatdirektivet ett sådant unionsintresse att särskilda skyddsområden (fågeldirektivet) eller bevarandeområden (art- och habitatdirektivet) behöver utses. Arten finns upptagen i bilaga 2 till art- och habitatdirektivet.</w:t>
      </w:r>
    </w:p>
    <w:p>
      <w:r>
        <w:t>Mark- och miljööverdomstolen (MÖD) har i mål nr M 2019-20 (18 februari 2019) slagit fast att grön sköldmossa (§8) är dispenspliktig och att exemplar av arten inte får skadas utan dispens (MÖD, mål nr M 2019-20).</w:t>
      </w:r>
    </w:p>
    <w:p>
      <w:r>
        <w:t>Hallingbäck, personligt meddelande 2022-02-24</w:t>
      </w:r>
    </w:p>
    <w:p>
      <w:pPr>
        <w:jc w:val="left"/>
      </w:pPr>
      <w:r>
        <w:t>Från: Tomas Hallingbäck &lt;Tomas.Hallingback@slu.se&gt;</w:t>
        <w:br/>
        <w:t>Date: tors 24 feb. 2022 kl 17:49</w:t>
        <w:br/>
        <w:t>Subject: Re: Grön sköldmossa</w:t>
        <w:br/>
        <w:t>To: Magnus Kasselstrand &lt;magnus.kasselstrand@gmail.com&gt;</w:t>
      </w:r>
    </w:p>
    <w:p>
      <w:r>
        <w:t>Hej Magnus,</w:t>
      </w:r>
    </w:p>
    <w:p>
      <w:r>
        <w:t>Tyvärr finns inga studier på just detta, men uttorkning av underlaget är en starkt negativ faktor för grön sköldmossa, och jag brukar hänvisa till lokalklimatiska studier som visar att skyddskappan för att förhindra uttorkning av marken ligger på minst tre trädlängder skog (för plan mark), kortare för kuperad terräng, och detta blir i praktiken åtminstone 50 meter.</w:t>
      </w:r>
    </w:p>
    <w:p>
      <w:r>
        <w:t>MVH</w:t>
        <w:br/>
        <w:t>Tomas Hallingbäck</w:t>
      </w:r>
    </w:p>
    <w:p>
      <w:pPr>
        <w:pStyle w:val="Heading2"/>
      </w:pPr>
      <w:r>
        <w:t>Referenser – grön sköldmossa</w:t>
      </w:r>
    </w:p>
    <w:p>
      <w:r>
        <w:t xml:space="preserve">Hallingbäck T., 2016. </w:t>
      </w:r>
      <w:r>
        <w:rPr>
          <w:i/>
        </w:rPr>
        <w:t xml:space="preserve">Mossor en fältguide. </w:t>
      </w:r>
      <w:r>
        <w:t>Naturcentrum.</w:t>
      </w:r>
    </w:p>
    <w:p>
      <w:r>
        <w:t xml:space="preserve">Hallingbäck T., 2022. </w:t>
      </w:r>
      <w:r>
        <w:rPr>
          <w:i/>
        </w:rPr>
        <w:t xml:space="preserve">Personligt meddelande 2022-02-24. </w:t>
      </w:r>
      <w:r>
        <w:t>SLU Artdatabanken.</w:t>
      </w:r>
    </w:p>
    <w:p>
      <w:r>
        <w:t xml:space="preserve">Mark- och miljööverdomstolen. </w:t>
      </w:r>
      <w:r>
        <w:rPr>
          <w:i/>
        </w:rPr>
        <w:t xml:space="preserve">Dom 18 februari 2019 i mål nr M 2019-20 </w:t>
      </w:r>
      <w:r>
        <w:t>(MÖD, mål nr M 2019-20)</w:t>
      </w:r>
    </w:p>
    <w:p>
      <w:r>
        <w:t xml:space="preserve">Nitare, J., 2019. </w:t>
      </w:r>
      <w:r>
        <w:rPr>
          <w:i/>
        </w:rPr>
        <w:t xml:space="preserve">Skyddsvärd skog – Naturvårdsarter och andra kriterier för naturvärdesbedömning. </w:t>
      </w:r>
      <w:r>
        <w:t>Skogsstyrelsen.</w:t>
      </w:r>
    </w:p>
    <w:p>
      <w:r>
        <w:t xml:space="preserve">SLU Artdatabanken, 2021.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2026-07-26</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