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107 fyndplatser för knärot registrerade på Artportalen. Figur 2 visar gränserna för buffertzoner på 50 m, som behöver lämnas kring fyndplatserna för att knärotslokalerna inte ska försvinna vid en avverkning. Av det avverkningsanmälda området överlappar 17.23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