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20533-2023 i Katrineholms kommun</w:t>
      </w:r>
    </w:p>
    <w:p>
      <w:r>
        <w:t>Detta dokument behandlar höga naturvärden i avverkningsanmälan A 20533-2023 i Katrineholms kommun. Denna avverkningsanmälan inkom 2023-05-11 00:00:00 och omfattar 20,2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mulmknäppare (VU), mindre hackspett (NT, §4), spillkråka (NT, §4), svinrot (NT), noshornsoxe (S), svart trolldruva (S), tibast (S) och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20533-2023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6528578, E 583799 i SWEREF 99 TM.</w:t>
      </w:r>
    </w:p>
    <w:p>
      <w:r>
        <w:rPr>
          <w:b/>
        </w:rPr>
        <w:t>Mulmknäppare (VU)</w:t>
      </w:r>
      <w:r>
        <w:t>, som är en av våra största knäppare (17–24 mm), har sin larvutveckling i mulm i grova ihåliga, oftast fristånde lövträd, främst ek men även i ask, lind, bok, alm, sälg, klibbal och lönn. Oftast i fuktig, mörk mulm, gärna med rester av fågelbon. Larven är ett rovdjur på larver av bland annat läderbagge (VU, §4a) och arten har visat sig attraheras av läderbaggens feromon. Arten påverkas negativt av brist på grova eller gamla träd och en minskning av populationen pågår eller förväntas ske. Minskningen avser kvalitén på artens habitat. Mulmknäppare är rödlistad som nära hotad (NT) på den europeiska rödlistan vilket innebär att Sverige har ett internationellt ansvar för arten (SLU Artdatabanken, 2025; IUCN,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mindre hackspett (NT, §4), spillkråka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