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46007-2019 i Katrineholms kommun</w:t>
      </w:r>
    </w:p>
    <w:p>
      <w:r>
        <w:t>Detta dokument behandlar höga naturvärden i avverkningsanmälan A 46007-2019 i Katrineholms kommun. Denna avverkningsanmälan inkom 2019-09-05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bombmurkla (VU, §8), ullticka (NT), brandticka (S), fjällig taggsvamp s.str. (S), grönpyrola (S), vågbandad barkbock (S),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46007-2019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6532160, E 571505 i SWEREF 99 TM.</w:t>
      </w:r>
    </w:p>
    <w:p>
      <w:pPr>
        <w:pStyle w:val="Heading1"/>
      </w:pPr>
      <w:r>
        <w:t>Fridlysta arter</w:t>
      </w:r>
    </w:p>
    <w:p>
      <w:r>
        <w:t>Följande fridlysta arter har sina livsmiljöer och växtplatser i den avverkningsanmälda skogen: bombmurkla (VU, §8), mattlummer (§9) och revlummer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