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106 fyndplatser för knärot registrerade på Artportalen. Figur 2 visar gränserna för buffertzoner på 50 m, som behöver lämnas kring fyndplatserna för att knärotslokalerna inte ska försvinna vid en avverkning. Av det avverkningsanmälda området överlappar 16.50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