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20533-2023 i Katrineholms kommun</w:t>
      </w:r>
    </w:p>
    <w:p>
      <w:r>
        <w:t>Detta klagomål behandlar höga naturvärden i avverkningsanmälan A 20533-2023 i Katrineholms kommun som inkom 2023-05-11 och omfattar 1,2 ha.</w:t>
      </w:r>
    </w:p>
    <w:p>
      <w:pPr>
        <w:pStyle w:val="Caption"/>
      </w:pPr>
      <w:r>
        <w:drawing>
          <wp:inline xmlns:a="http://schemas.openxmlformats.org/drawingml/2006/main" xmlns:pic="http://schemas.openxmlformats.org/drawingml/2006/picture">
            <wp:extent cx="5486400" cy="5533534"/>
            <wp:docPr id="1" name="Picture 1"/>
            <wp:cNvGraphicFramePr>
              <a:graphicFrameLocks noChangeAspect="1"/>
            </wp:cNvGraphicFramePr>
            <a:graphic>
              <a:graphicData uri="http://schemas.openxmlformats.org/drawingml/2006/picture">
                <pic:pic>
                  <pic:nvPicPr>
                    <pic:cNvPr id="0" name="A 20533-2023 karta.png"/>
                    <pic:cNvPicPr/>
                  </pic:nvPicPr>
                  <pic:blipFill>
                    <a:blip r:embed="rId16"/>
                    <a:stretch>
                      <a:fillRect/>
                    </a:stretch>
                  </pic:blipFill>
                  <pic:spPr>
                    <a:xfrm>
                      <a:off x="0" y="0"/>
                      <a:ext cx="5486400" cy="5533534"/>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6528263, E 583562 i SWEREF 99 TM.</w:t>
      </w:r>
    </w:p>
    <w:p>
      <w:r>
        <w:t>Inom 22 meter från avverkningsanmälan finns fynd av 7 naturvårdsarter, varav 4 är rödlistade, 7 är fridlysta och 1 är typisk (T): blå kärrhök (VU, §4), bivråk (NT, §4), mindre hackspett (NT, T, §4), sparvuggla (NT, §4), fiskgjuse (§4), havsörn (§4) och röd glada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Bivråk (NT, §4)</w:t>
      </w:r>
      <w:r>
        <w:t xml:space="preserve"> ingår i bilaga 1 i EU:s fågeldirektiv och är prioriterad art i Skogsvårdslagen. Den har minskat med 2/3-delar sedan 1970-talet och under de senaste 30 åren har minskningstakten uppgått till 22.5 (15–30) %. Arten häckar i tät, ogallrad skog på högproduktiv mark, i södra Sverige främst i lövskogsrika trakter, i Norrland till stor del i högproduktiv granskog, Födan består av getinglarver och -puppor, men även av fågelungar och groddjur. Bivråken påverkas negativt av avverkning och omföring av lövträdsrika marker till täta produktionsskogar av barrträd samt av den allmänna "</w:t>
      </w:r>
      <w:r>
        <w:rPr>
          <w:i/>
        </w:rPr>
        <w:t>förtorkningen</w:t>
      </w:r>
      <w:r>
        <w:t>" av landskapet genom täckdikning, dikning av skogsmark etc. Bevara lövskogar och öka andelen löv i barrskog. Gallra inte i onödan och inte alls i sumpskog. Dika inte ut vattensamlingar, sumpskogar, alkärr eller andra våta miljöer. Kring alla boplatser ska det lämnas en skyddszon vid avverkning eller andra skogliga åtgärder. Som tumregel ska skyddszonen vara så bred att boet inte syns väl från öppen mark. Minskningstakten för den svenska populationen bedöms vara nära gränsvärdet för Sårbar (VU) (SLU Artdatabanken, 2026; Skogsstyrelsen, 2016).</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Sparvuggla (NT, §4)</w:t>
      </w:r>
      <w:r>
        <w:t xml:space="preserve"> är fridlyst enligt 4§ artskyddsförordningen och omfattas av bilaga 1 EU:s fågeldirektiv. Den har minskat med 15 (5–25) % under de senaste 15 åren och minskningstakten för den svenska populationen bedöms vara nära gränsvärdet för Sårbar (VU).  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(SLU Artdatabanken, 2026; Skogsstyrelsen, 2016).</w:t>
      </w:r>
    </w:p>
    <w:p>
      <w:r>
        <w:rPr>
          <w:b/>
        </w:rPr>
        <w:t>Fiskgjuse (§4)</w:t>
      </w:r>
      <w:r>
        <w:t xml:space="preserve"> är fridlyst enligt 4§ artskyddsförordningen och upptagen i bilaga 1 EU:s fågeldirektiv. Den bygger vanligen sitt stora risbo i toppen av en plattkronad, kraftig tall (&gt;90%) med utsikt över omgivningen. Skogsavverkningar utan hänsyn till bevarandet av fiskgjusens boträd och häckningsbiotop utgör en fara genom att tillgången på lämpliga träd minskar. Lämna en skyddszon kring boplatser vid avverkning eller gallring. Boträdets placering styr behovet av skyddszon vilket måste bedömas från fall till fall, men skyddszonen bör vara tillräckligt bred för att behålla skydd mot insyn, erbjuda lämpliga sittplatser och förhindra att boträdet blåser ner. Avstå från skogsbruksåtgärder i hänsynskrävande miljöer, som på uddar eller öar med äldre skog eller hällmarkstallskog där det häckar fiskgjuse. Gör naturvårdsavsättningar i äldre skog i lämpliga områden för fiskgjuse, t.ex. på uddar och i hällmarksområden (SLU Artdatabanken, 2024; Skogsstyrelsen, 2016).</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r>
        <w:rPr>
          <w:b/>
        </w:rPr>
        <w:t>Röd glada (§4)</w:t>
      </w:r>
      <w:r>
        <w:t xml:space="preserve"> är fridlyst enligt 4§ artskyddsförordningen och upptagen i bilaga 1 EU:s fågeldirektiv. Den häckar gärna i omväxlande landskap med mosaik av öppna marker och skogar. Tidigare studier har visat en förkärlek för att häcka nära sjöar, och häckningsframgången var också högre hos par som häckade nära vatten. Boet läggs i träd, ofta högt och vanligen nära skogsbryn. Missgynnas av skogliga åtgärder som lämnar boet allt för exponerat, främst genom för smala skyddszoner och för omfattande gallring. Lämna en skyddszon kring boplatser vid avverkning eller andra skogliga åtgärder. Bredden på skyddszonen beror på platsen, men som tumregel ska den ska vara så bred att boplatsen inte är väsentligt mer exponerad för insyn än tidigare. Spara samtliga träd med större risbon, även sådana där boet ser obebott ut. Avstå att avverka äldre lövdominerade bestånd, främst i anslutning till öppen jordbruksmark (SLU Artdatabanken, 2024;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Bivråk – ekologi samt krav på livsmiljön</w:t>
      </w:r>
    </w:p>
    <w:p>
      <w:r>
        <w:t>Bivråk (NT, §4) ingår i bilaga 1 i EU:s fågeldirektiv och är prioriterad art i Skogsvårdslagen. Den har minskat med 2/3-delar sedan 1970-talet och under de senaste 30 åren har minskningstakten uppgått till 22.5 (15–30) %. Minskningstakten för den svenska populationen bedöms vara nära gränsvärdet för Sårbar (VU) (SLU Artdatabanken, 2026).</w:t>
      </w:r>
    </w:p>
    <w:p>
      <w:r>
        <w:t>Arten häckar i tät, ogallrad skog på högproduktiv mark, i södra Sverige främst i lövskogsrika trakter, i Norrland till stor del i högproduktiv granskog, Födan består av getinglarver och -puppor, men även av fågelungar och groddjur. (SLU Artdatabanken, 2026).</w:t>
      </w:r>
    </w:p>
    <w:p>
      <w:r>
        <w:t>En trolig delförklaring till minskande bivråksstammar är att det i dagens skogs- och jordbruksbygder finns ett sämre utbud av insektsrika biotoper jämfört med förhållandena för 20–40 år sedan. Minskad insektsrikedom innebär förmodligen en lägre täthet av sociala getingsamhällen och därmed sämre förutsättningar för bivråkens häckning. En allmän "</w:t>
      </w:r>
      <w:r>
        <w:rPr>
          <w:i/>
        </w:rPr>
        <w:t>förtorkning</w:t>
      </w:r>
      <w:r>
        <w:t>" av landskapet (täckdikning, dikning av skogsmark etc.) liksom omföring av lövträdsrika marker till täta produktionsskogar av barrträd medför dessutom en försämrad förekomst av tättingar (trastar etc.) och grodor, vilket sannolikt påverkar bivråken negativt. (SLU Artdatabanken, 2026).</w:t>
      </w:r>
    </w:p>
    <w:p>
      <w:r>
        <w:t>Bevara lövskogar och öka andelen löv i barrskog. Gallra inte i onödan och inte alls i sumpskog. Dika inte ut vattensamlingar, sumpskogar, alkärr eller andra våta miljöer. Kring alla boplatser ska det lämnas en skyddszon vid avverkning eller andra skogliga åtgärder. Som tumregel ska skyddszonen vara så bred att boet inte syns väl från öppen mark (SLU Artdatabanken, 2026; Skogsstyrelsen, 2016).</w:t>
      </w:r>
    </w:p>
    <w:p>
      <w:pPr>
        <w:pStyle w:val="Heading2"/>
      </w:pPr>
      <w:r>
        <w:t>Referenser – bivråk</w:t>
      </w:r>
    </w:p>
    <w:p>
      <w:r>
        <w:t xml:space="preserve">Skogsstyrelsen, 2016. </w:t>
      </w:r>
      <w:r>
        <w:rPr>
          <w:i/>
        </w:rPr>
        <w:t>Vägledning för hänsyn till bivråk.</w:t>
      </w:r>
    </w:p>
    <w:p>
      <w:r>
        <w:t xml:space="preserve">SLU Artdatabanken, 2026. </w:t>
      </w:r>
      <w:r>
        <w:rPr>
          <w:i/>
        </w:rPr>
        <w:t xml:space="preserve">Artfaktablad. Naturvård – artfakta. </w:t>
      </w:r>
      <w:r>
        <w:t>SLU Artdatabanken, Uppsala</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Sparvuggla – ekologi samt krav på livsmiljön</w:t>
      </w:r>
    </w:p>
    <w:p>
      <w:r>
        <w:t>Sparvuggla (NT, §4) är fridlyst enligt 4§ artskyddsförordningen och omfattas av bilaga 1 EU:s fågeldirektiv. Den har minskat med 15 (5–25) % under de senaste 15 åren och minskningstakten för den svenska populationen bedöms vara nära gränsvärdet för Sårbar (VU) (SLU Artdatabanken 2026).</w:t>
      </w:r>
    </w:p>
    <w:p>
      <w:r>
        <w:t>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r>
        <w:t xml:space="preserve">SLU Artdatabanken, 2026. </w:t>
      </w:r>
      <w:r>
        <w:rPr>
          <w:i/>
        </w:rPr>
        <w:t xml:space="preserve">Artfaktablad. Naturvård – artfakta. </w:t>
      </w:r>
      <w:r>
        <w:t>SLU Artdatabanken, Uppsala.</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