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39091-2022 i Katrineholms kommun</w:t>
      </w:r>
    </w:p>
    <w:p>
      <w:r>
        <w:t>Detta klagomål behandlar höga naturvärden i avverkningsanmälan A 39091-2022 i Katrineholms kommun som inkom 2022-09-13 och omfattar 3,6 ha.</w:t>
      </w:r>
    </w:p>
    <w:p>
      <w:pPr>
        <w:pStyle w:val="Caption"/>
      </w:pPr>
      <w:r>
        <w:drawing>
          <wp:inline xmlns:a="http://schemas.openxmlformats.org/drawingml/2006/main" xmlns:pic="http://schemas.openxmlformats.org/drawingml/2006/picture">
            <wp:extent cx="5486400" cy="4971696"/>
            <wp:docPr id="1" name="Picture 1"/>
            <wp:cNvGraphicFramePr>
              <a:graphicFrameLocks noChangeAspect="1"/>
            </wp:cNvGraphicFramePr>
            <a:graphic>
              <a:graphicData uri="http://schemas.openxmlformats.org/drawingml/2006/picture">
                <pic:pic>
                  <pic:nvPicPr>
                    <pic:cNvPr id="0" name="A 39091-2022 karta.png"/>
                    <pic:cNvPicPr/>
                  </pic:nvPicPr>
                  <pic:blipFill>
                    <a:blip r:embed="rId16"/>
                    <a:stretch>
                      <a:fillRect/>
                    </a:stretch>
                  </pic:blipFill>
                  <pic:spPr>
                    <a:xfrm>
                      <a:off x="0" y="0"/>
                      <a:ext cx="5486400" cy="497169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6539203, E 565431 i SWEREF 99 TM.</w:t>
      </w:r>
    </w:p>
    <w:p>
      <w:r>
        <w:t>I avverkningsanmälan finns fynd av 13 naturvårdsarter, varav 5 är rödlistade, 4 är fridlysta, 5 är typiska (T) och 4 är signalarter (S): ask (EN), skogsalm (EN), fjällig taggsvamp s.str. (NT), flattoppad klubbsvamp (NT), svartvit taggsvamp (NT), granbarkgnagare (S, T), grov baronmossa (S, T), platt fjädermossa (S, T), svart trolldruva (S, T), blåsippa (T, §9), kråka (§4), kungsfågel (§4) och gullviva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r>
        <w:rPr>
          <w:b/>
        </w:rPr>
        <w:t>Fjällig taggsvamp s.str. (NT)</w:t>
      </w:r>
      <w:r>
        <w:t xml:space="preserve"> bildar mykorrhiza med gran i granskog och barrblandskog, främst på frisk näringsrik mark i äldre skog med lång trädkontinuitet. Den totala populationen i landet har minskat och bedöms fortsätta minska till följd av avverkning av äldre barrskogar. Minskningstakten för den svenska populationen bedöms vara nära gränsvärdet för sårbar (VU) (SLU Artdatabanken, 2026).</w:t>
      </w:r>
    </w:p>
    <w:p>
      <w:r>
        <w:rPr>
          <w:b/>
        </w:rPr>
        <w:t xml:space="preserve">Flattoppad klubbsvamp (NT) </w:t>
      </w:r>
      <w:r>
        <w:t>bildar mykorrhiza med gran och växer i äldre barrskog på näringsrik, kalkpåverkad mark. Växtmiljön utgörs vanligen av örtrika granskogar med höga naturvärden, gärna påverkade av ytligt och rörligt markvatten. Svampen kräver välutvecklade gamla mossmattor med konstant fuktigt mikroklimat och hotas främst av slutavverkning av äldre ängsgranskogar på näringsrik mark. Artens lokaler bör undantas från skogsbruk (SLU Artdatabanken, 2024).</w:t>
      </w:r>
    </w:p>
    <w:p>
      <w:r>
        <w:rPr>
          <w:b/>
        </w:rPr>
        <w:t xml:space="preserve">Svartvit taggsvamp (NT) </w:t>
      </w:r>
      <w:r>
        <w:t>bildar mykorrhiza med tall, troligen även med gran. Den växer huvudsakligen i äldre, naturligt uppkommen skog på torr eller frisk mark och förekommer såväl på tallhedar som i mossig barrblandskog. Flera olika former har påträffats vid DNA-undersökningar av europeiskt material och det är oklart hur många former som finns i värd land. Kalavverkning av äldre skog är ett reellt hot, liksom maskinell markberedning och minskad andel självföryngring. Lokaler som fortfarande håller svampen behöver säkerställas (SLU Artdatabanken, 2024; Nitare &amp; Skogsstyrelsen, 2019).</w:t>
      </w:r>
    </w:p>
    <w:p>
      <w:r>
        <w:rPr>
          <w:b/>
        </w:rPr>
        <w:t xml:space="preserve">Granbarkgnagare </w:t>
      </w:r>
      <w:r>
        <w:t xml:space="preserve">är en skalbagge vars larvutveckling sker i den tjocka ytterbarken på gamla och mycket grova levande granar. Man lägger lätt märke till angreppen på träden eftersom flera grova kläckhål ligger ganska tätt intill varandra på de grövre barkåsarna. Kläckhålen är runda och ca 1,5 mm breda. Granbarkgnagare är typisk art för </w:t>
      </w:r>
      <w:r>
        <w:rPr>
          <w:i/>
        </w:rPr>
        <w:t xml:space="preserve">9010 Taiga </w:t>
      </w:r>
      <w:r>
        <w:t>(Ehnström, 2002; SLU Artdatabanken, 2025).</w:t>
      </w:r>
    </w:p>
    <w:p>
      <w:r>
        <w:rPr>
          <w:b/>
        </w:rPr>
        <w:t>Grov baronmossa</w:t>
      </w:r>
      <w:r>
        <w:t xml:space="preserve"> är näringskrävande och kalkgynnad. Den växer mest i skuggig skogsmiljö, antingen i ädellövskog eller i bergbranter på relativt torra, men beskuggade bergväggar och block av basiska bergarter. Den växer även vid basen av solitära eller halvöppet stående gamla ädellövträd, bland annat på mycket gamla ekar och lindar, men också på ask, lönn, bok och alm. Grov baronmossa är typisk art för </w:t>
      </w:r>
      <w:r>
        <w:rPr>
          <w:i/>
        </w:rPr>
        <w:t xml:space="preserve">9020 Nordlig ädellövskog, 9130 Näringsrik bokskog, 9160 Näringsrik ekskog </w:t>
      </w:r>
      <w:r>
        <w:t>och</w:t>
      </w:r>
      <w:r>
        <w:rPr>
          <w:i/>
        </w:rPr>
        <w:t xml:space="preserve"> 9180 Ädellövskog i branter</w:t>
      </w:r>
      <w:r>
        <w:t xml:space="preserve"> (Nitare &amp; Skogsstyrelsen, 2019; SLU Artdatabanken, 2025).</w:t>
      </w:r>
    </w:p>
    <w:p>
      <w:r>
        <w:rPr>
          <w:b/>
        </w:rPr>
        <w:t xml:space="preserve">Platt fjädermossa </w:t>
      </w:r>
      <w:r>
        <w:t>växer på såväl trädstammar (särskilt bok och andra ädla lövträd) som klippor (helst basiska bergarter). Norrut förekommer den endast på basiska klippor. Rika förekomster och fynd med sporkapslar indikerar höga naturvärden och en artrik mossbiotop.</w:t>
      </w:r>
      <w:r>
        <w:rPr>
          <w:b/>
        </w:rPr>
        <w:t xml:space="preserve"> </w:t>
      </w:r>
      <w:r>
        <w:t xml:space="preserve">Platt fjädermossa är typisk art för </w:t>
      </w:r>
      <w:r>
        <w:rPr>
          <w:i/>
        </w:rPr>
        <w:t>9010 Taiga,</w:t>
      </w:r>
      <w:r>
        <w:t xml:space="preserve"> </w:t>
      </w:r>
      <w:r>
        <w:rPr>
          <w:i/>
        </w:rPr>
        <w:t>9020 Nordlig ädellövskog, 9110 Näringsfattig bokskog, 9130 Näringsrik bokskog, 9160 Näringsrik ekskog, 9180 Ädellövskog i branter</w:t>
      </w:r>
      <w:r>
        <w:t xml:space="preserve"> och</w:t>
      </w:r>
      <w:r>
        <w:rPr>
          <w:i/>
        </w:rPr>
        <w:t xml:space="preserve"> 9190 Näringsfattig ekskog </w:t>
      </w:r>
      <w:r>
        <w:t>(Nitare &amp; Skogsstyrelsen, 2019; SLU Artdatabanken, 2025).</w:t>
      </w:r>
    </w:p>
    <w:p>
      <w:r>
        <w:rPr>
          <w:b/>
        </w:rPr>
        <w:t>Svart trolldruva</w:t>
      </w:r>
      <w:r>
        <w:t xml:space="preserve"> är en kalkgynnad växt som förekommer på näringsrik frisk mulljord i såväl bördiga kalkbarrskogar som sydliga kalklövskogar och lundar. Arten är en bra signalart för skyddsvärda biotoper i såväl löv- som barrskogar och tål inte slutavverkning och markberedning. Trolldruva är värdväxt för ett antal sällsynta fjärilsarter som ställer höga krav på sina livsmiljöer, däribland trolldruvemätare (EN), skuggmalmätare (VU) och trolldruvelobmätare (VU). Svart trolldruva är typisk art för </w:t>
      </w:r>
      <w:r>
        <w:rPr>
          <w:i/>
        </w:rPr>
        <w:t>9050 Näringsrik granskog,</w:t>
      </w:r>
      <w:r>
        <w:t xml:space="preserve"> </w:t>
      </w:r>
      <w:r>
        <w:rPr>
          <w:i/>
        </w:rPr>
        <w:t xml:space="preserve">9020 Nordlig ädellövskog, 9160 Näringsrik ekskog, 9180 Ädellövskog i branter </w:t>
      </w:r>
      <w:r>
        <w:t>och</w:t>
      </w:r>
      <w:r>
        <w:rPr>
          <w:i/>
        </w:rPr>
        <w:t xml:space="preserve"> 1610 Åsöar i Östersjön</w:t>
      </w:r>
      <w:r>
        <w:t xml:space="preserve"> (SLU Artdatabanken, 2024; Nitare &amp; Skogsstyrelsen, 2019).</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Gullviva (§9)</w:t>
      </w:r>
      <w:r>
        <w:t xml:space="preserve"> är värdväxt för bland annat den rödlistade och sällsynta fjärilen gullvivefjäril (VU) samt typisk art för </w:t>
      </w:r>
      <w:r>
        <w:rPr>
          <w:i/>
        </w:rPr>
        <w:t xml:space="preserve">9070 Trädklädd betesmark, 6530 Lövängar, 6510 Slåtterängar i låglandet </w:t>
      </w:r>
      <w:r>
        <w:t>och</w:t>
      </w:r>
      <w:r>
        <w:rPr>
          <w:i/>
        </w:rPr>
        <w:t xml:space="preserve"> 6270 Silikatgräsmarker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13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Övriga Aktiebolag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