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blackticka (VU), knärot (VU, §8), rotfingersvamp (VU),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106 fyndplatser för knärot registrerade på Artportalen. Figur 2 visar gränserna för buffertzoner på 50 m, som behöver lämnas kring fyndplatserna för att knärotslokalerna inte ska försvinna vid en avverkning. Av det avverkningsanmälda området överlappar 16.50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