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blackticka (VU), knärot (VU, §8), rotfingersvamp (VU), dofttaggsvamp (NT), fyrflikig jordstjärna (NT), granticka (NT), gul taggsvamp (NT), gultoppig fingersvamp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103 fyndplatser för knärot registrerade på Artportalen. Figur 2 visar gränserna för buffertzoner på 50 m, som behöver lämnas kring fyndplatserna för att knärotslokalerna inte ska försvinna vid en avverkning. Av det avverkningsanmälda området överlappar 16.38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