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28806-2024 i Katrineholms kommun</w:t>
      </w:r>
    </w:p>
    <w:p>
      <w:r>
        <w:t>Detta klagomål behandlar höga naturvärden i avverkningsanmälan A 28806-2024 i Katrineholms kommun som inkom 2024-07-05 och omfattar 23,0 ha.</w:t>
      </w:r>
    </w:p>
    <w:p>
      <w:pPr>
        <w:pStyle w:val="Caption"/>
      </w:pPr>
      <w:r>
        <w:drawing>
          <wp:inline xmlns:a="http://schemas.openxmlformats.org/drawingml/2006/main" xmlns:pic="http://schemas.openxmlformats.org/drawingml/2006/picture">
            <wp:extent cx="5138066" cy="5724000"/>
            <wp:docPr id="1" name="Picture 1"/>
            <wp:cNvGraphicFramePr>
              <a:graphicFrameLocks noChangeAspect="1"/>
            </wp:cNvGraphicFramePr>
            <a:graphic>
              <a:graphicData uri="http://schemas.openxmlformats.org/drawingml/2006/picture">
                <pic:pic>
                  <pic:nvPicPr>
                    <pic:cNvPr id="0" name="A 28806-2024 karta.png"/>
                    <pic:cNvPicPr/>
                  </pic:nvPicPr>
                  <pic:blipFill>
                    <a:blip r:embed="rId16"/>
                    <a:stretch>
                      <a:fillRect/>
                    </a:stretch>
                  </pic:blipFill>
                  <pic:spPr>
                    <a:xfrm>
                      <a:off x="0" y="0"/>
                      <a:ext cx="5138066"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6558988, E 577259 i SWEREF 99 TM.</w:t>
      </w:r>
    </w:p>
    <w:p>
      <w:r>
        <w:t>I och inom 23 meter från avverkningsanmälan finns fynd av 51 naturvårdsarter, varav 28 är rödlistade, 16 är fridlysta, 28 är typiska (T) och 11 är signalarter (S): blackticka (VU), goliatmusseron (VU, T), gul taggsvamp (VU, T), jättemusseron (VU), knärot (VU, T, §8), rotfingersvamp (VU), blå taggsvamp (NT, T), dofttaggsvamp (NT, T), dropptaggsvamp (NT, T), fjällig taggsvamp s.str. (NT), fyrflikig jordstjärna (NT, T), gultoppig fingersvamp (NT), jungfrulin (NT), kattfotslav (NT, T), koralltaggsvamp (NT, T), motaggsvamp (NT, T), nordfladdermus (NT, §4a), orange taggsvamp (NT, T), skarp dropptaggsvamp (NT), svartvit taggsvamp (NT), svinrot (NT), tallticka (NT, T), talltita (NT, §4), ullticka (NT, T), vedskivlav (NT, T), vippärt (NT, T), vårstarr (NT), vårärt (NT, T), blomkålssvamp (S), blåmossa (S, T), bronshjon (S, T), granbarkgnagare (S, T), grovticka (S, T), grön sköldmossa (S, T, §8), grönpyrola (S, T), mindre märgborre (S, T), rödgul trumpetsvamp (S), vedticka (S, T), vågbandad barkbock (S), järpe (T, §4), mattlummer (T, §9), spillkråka (T, §4), tjäder (T, §4), havsörn (§4), kungsfågel (§4), huggorm (§6), vanlig groda (§6), vanlig padda (§6), vanlig snok (§6),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 xml:space="preserve">Gul taggsvamp (VU) </w:t>
      </w:r>
      <w:r>
        <w:t xml:space="preserve">bildar mykorrhiza med gran i äldre barrskog med lång kontinuitet. Förekommer på kalkrik eller annan basiskt påverkad mark, ofta i källpåverkade miljöer. Den totala populationen i landet har minskat kraftigt och bedöms fortsätta minska till följd av avverkning av äldre barrskog med lång trädkontinuitet. Minskningstakten överstiger gränsvärdet för sårbar (VU). Arten tål inte en slutavverkning utan kräver ett kontinuerligt äldre trädskikt med gran. Slutavverkning, kraftig gallring och skogsmarksgödsling måste helt undvikas och lokalerna bör skyddas formellt. Gul taggsvamp är typisk art för </w:t>
      </w:r>
      <w:r>
        <w:rPr>
          <w:i/>
        </w:rPr>
        <w:t>9050 Näringsrik granskog</w:t>
      </w:r>
      <w:r>
        <w:t xml:space="preserve"> (SLU Artdatabanken, 2026).</w:t>
      </w:r>
    </w:p>
    <w:p>
      <w:r>
        <w:rPr>
          <w:b/>
        </w:rPr>
        <w:t>Jättemusseron (VU)</w:t>
      </w:r>
      <w:r>
        <w:t xml:space="preserve"> bildar mykorrhiza med tall, i äldre lavtallskog och hällmarkstallskog. Den visar på såväl sandtallskogar som hällmarkstallskogar med långvarig tallkontinuitet och svampen är sannolikt en kvarleva (relikt) på sina samtliga växtplatser. Arten är placerad högst upp i Skogsstyrelsens värdepyramid för bedömning av skog med höga naturvärden och slutavverkning bör tills vidare undvikas i skogsbestånd där arten är känd. Jättemusseron är globalt rödlistad som sårbar (VU) och Sverige och Norge har sannolikt merparten av den europeiska populationen och därmed ett särskilt ansvar för dess bevarande (IUCN, 2025;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112 fyndplatser för knärot registrerade på Artportalen. Figur 2 visar gränserna för buffertzoner på 50 m, som behöver lämnas kring fyndplatserna för att knärotslokalerna inte ska försvinna vid en avverkning. Av det avverkningsanmälda området överlappar 17.26 ha med buffertzonerna och får av detta skäl inte avverkas.</w:t>
      </w:r>
    </w:p>
    <w:p>
      <w:pPr>
        <w:pStyle w:val="Caption"/>
      </w:pPr>
      <w:r>
        <w:drawing>
          <wp:inline xmlns:a="http://schemas.openxmlformats.org/drawingml/2006/main" xmlns:pic="http://schemas.openxmlformats.org/drawingml/2006/picture">
            <wp:extent cx="5486400" cy="5005633"/>
            <wp:docPr id="2" name="Picture 2"/>
            <wp:cNvGraphicFramePr>
              <a:graphicFrameLocks noChangeAspect="1"/>
            </wp:cNvGraphicFramePr>
            <a:graphic>
              <a:graphicData uri="http://schemas.openxmlformats.org/drawingml/2006/picture">
                <pic:pic>
                  <pic:nvPicPr>
                    <pic:cNvPr id="0" name="A 28806-2024 karta knärot.png"/>
                    <pic:cNvPicPr/>
                  </pic:nvPicPr>
                  <pic:blipFill>
                    <a:blip r:embed="rId17"/>
                    <a:stretch>
                      <a:fillRect/>
                    </a:stretch>
                  </pic:blipFill>
                  <pic:spPr>
                    <a:xfrm>
                      <a:off x="0" y="0"/>
                      <a:ext cx="5486400" cy="500563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6558988, E 577259 i SWEREF 99 TM.</w:t>
      </w:r>
    </w:p>
    <w:p>
      <w:r>
        <w:rPr>
          <w:b/>
        </w:rPr>
        <w:t xml:space="preserve">Rotfingersvamp (VU) </w:t>
      </w:r>
      <w:r>
        <w:t>bildar mykorrhiza med tall, i tallskog på sandiga marker särskilt på åssluttningar. Huvudsakligen förekommer den i norra Sverige, i äldre icke kalavverkad kontinuitetsskog. Rotfingersvamp är placerad högst upp i Skogsstyrelsens värdepyramid för bedömning av skog med höga naturvärden och globalt rödlistad som nära hotad (NT) vilket innebär att Sverige har ett internationellt ansvar för arten. Områden med arten bör skyddas och undantas från rationellt skogsbruk och slutavverkning, kraftig gallring och skogsgödsling måste helt undvikas (IUCN, 2025; SLU Artdatabanken, 2024; Nitare &amp; Skogsstyrelsen, 2019).</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Fyrflikig jordstjärna (NT) </w:t>
      </w:r>
      <w:r>
        <w:t xml:space="preserve">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Fyrflikig jordstjärna är typisk art för </w:t>
      </w:r>
      <w:r>
        <w:rPr>
          <w:i/>
        </w:rPr>
        <w:t>9050 Näringsrik granskog</w:t>
      </w:r>
      <w:r>
        <w:t xml:space="preserve"> (SLU Artdatabanken, 2024).</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Vippärt (NT) </w:t>
      </w:r>
      <w:r>
        <w:t xml:space="preserve">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På blad av främst gökärt men även på vippärt kan den rödlistade fjärilen snedsträckad gökärtsmal (NT) påträffas. Fjärilens larver gör stora, undersidiga blåsminor i bladen av värdväxten. Bladen buktar därmed starkt och är marmorerade på ovansidan, medan minans undersida är silvervit. Fjärilens kokong är ockragul och fäst vid något föremål på marken. Vippärt är typisk art för </w:t>
      </w:r>
      <w:r>
        <w:rPr>
          <w:i/>
        </w:rPr>
        <w:t>9060 Åsbarrskog</w:t>
      </w:r>
      <w:r>
        <w:t xml:space="preserve"> och </w:t>
      </w:r>
      <w:r>
        <w:rPr>
          <w:i/>
        </w:rPr>
        <w:t>1610 Åsöar i Östersjön</w:t>
      </w:r>
      <w:r>
        <w:t xml:space="preserve"> (Nitare &amp; Skogsstyrelsen, 2019; SLU Artdatabanken, 2026).</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39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51 naturvårdsarter varav 28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