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54614-2021 i Katrineholms kommun</w:t>
      </w:r>
    </w:p>
    <w:p>
      <w:r>
        <w:t>Detta klagomål behandlar höga naturvärden i avverkningsanmälan A 54614-2021 i Katrineholms kommun som inkom 2021-10-04 och omfattar 1,3 ha.</w:t>
      </w:r>
    </w:p>
    <w:p>
      <w:pPr>
        <w:pStyle w:val="Caption"/>
      </w:pPr>
      <w:r>
        <w:drawing>
          <wp:inline xmlns:a="http://schemas.openxmlformats.org/drawingml/2006/main" xmlns:pic="http://schemas.openxmlformats.org/drawingml/2006/picture">
            <wp:extent cx="5486400" cy="5499598"/>
            <wp:docPr id="1" name="Picture 1"/>
            <wp:cNvGraphicFramePr>
              <a:graphicFrameLocks noChangeAspect="1"/>
            </wp:cNvGraphicFramePr>
            <a:graphic>
              <a:graphicData uri="http://schemas.openxmlformats.org/drawingml/2006/picture">
                <pic:pic>
                  <pic:nvPicPr>
                    <pic:cNvPr id="0" name="A 54614-2021 karta.png"/>
                    <pic:cNvPicPr/>
                  </pic:nvPicPr>
                  <pic:blipFill>
                    <a:blip r:embed="rId16"/>
                    <a:stretch>
                      <a:fillRect/>
                    </a:stretch>
                  </pic:blipFill>
                  <pic:spPr>
                    <a:xfrm>
                      <a:off x="0" y="0"/>
                      <a:ext cx="5486400" cy="549959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6526648, E 573273 i SWEREF 99 TM.</w:t>
      </w:r>
    </w:p>
    <w:p>
      <w:r>
        <w:t>I och inom 21 meter från avverkningsanmälan finns fynd av 7 naturvårdsarter, varav 5 är rödlistade, 3 är typiska (T) och 2 är signalarter (S): bullspindling (VU), grangråticka (VU, T), kopparspindling (VU), fjällig taggsvamp s.str. (NT), persiljespindling (NT), fällmossa (S, T) och hasselticka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Bullspindling (VU)</w:t>
      </w:r>
      <w:r>
        <w:t xml:space="preserve"> är en kräsen och mycket bra signalart för skyddsvärda äldre granskogar på kalkrik mark. Den är placerad högst upp i Skogsstyrelsens värdepyramid för bedömning av skog med höga naturvärden och skogsbruk, främst kalavverkning utgör ett stort hot mot arten. Artens minskningstakt uppgår till 30 % inom 50 år och överstiger gränsvärdet för Sårbar (VU) (SLU Artdatabanken, 2024; Nitare &amp; Skogsstyrelsen, 2019).</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