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188-2025 i Katrineholms kommun</w:t>
      </w:r>
    </w:p>
    <w:p>
      <w:r>
        <w:t>Detta klagomål behandlar höga naturvärden i avverkningsanmälan A 188-2025 i Katrineholms kommun som inkom 2024-12-23 och omfattar 8,9 ha.</w:t>
      </w:r>
    </w:p>
    <w:p>
      <w:pPr>
        <w:pStyle w:val="Caption"/>
      </w:pPr>
      <w:r>
        <w:drawing>
          <wp:inline xmlns:a="http://schemas.openxmlformats.org/drawingml/2006/main" xmlns:pic="http://schemas.openxmlformats.org/drawingml/2006/picture">
            <wp:extent cx="5486400" cy="5703974"/>
            <wp:docPr id="1" name="Picture 1"/>
            <wp:cNvGraphicFramePr>
              <a:graphicFrameLocks noChangeAspect="1"/>
            </wp:cNvGraphicFramePr>
            <a:graphic>
              <a:graphicData uri="http://schemas.openxmlformats.org/drawingml/2006/picture">
                <pic:pic>
                  <pic:nvPicPr>
                    <pic:cNvPr id="0" name="A 188-2025 karta.png"/>
                    <pic:cNvPicPr/>
                  </pic:nvPicPr>
                  <pic:blipFill>
                    <a:blip r:embed="rId16"/>
                    <a:stretch>
                      <a:fillRect/>
                    </a:stretch>
                  </pic:blipFill>
                  <pic:spPr>
                    <a:xfrm>
                      <a:off x="0" y="0"/>
                      <a:ext cx="5486400" cy="57039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6542775, E 581983 i SWEREF 99 TM.</w:t>
      </w:r>
    </w:p>
    <w:p>
      <w:r>
        <w:t>I avverkningsanmälan finns fynd av 4 naturvårdsarter, varav 2 är fridlysta, 2 är typiska (T) och 2 är signalarter (S): blomkålssvamp (S), blåmossa (S, T), blåsippa (T, §9)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