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28806-2024 i Katrineholms kommun</w:t>
      </w:r>
    </w:p>
    <w:p>
      <w:r>
        <w:t>Denna tillsynsbegäran behandlar höga naturvärden i avverkningsanmälan A 28806-2024 i Katrineholms kommun som inkom 2024-07-05 och omfattar 23,0 ha.</w:t>
      </w:r>
    </w:p>
    <w:p>
      <w:pPr>
        <w:pStyle w:val="Caption"/>
      </w:pPr>
      <w:r>
        <w:drawing>
          <wp:inline xmlns:a="http://schemas.openxmlformats.org/drawingml/2006/main" xmlns:pic="http://schemas.openxmlformats.org/drawingml/2006/picture">
            <wp:extent cx="5142875" cy="5724000"/>
            <wp:docPr id="1" name="Picture 1"/>
            <wp:cNvGraphicFramePr>
              <a:graphicFrameLocks noChangeAspect="1"/>
            </wp:cNvGraphicFramePr>
            <a:graphic>
              <a:graphicData uri="http://schemas.openxmlformats.org/drawingml/2006/picture">
                <pic:pic>
                  <pic:nvPicPr>
                    <pic:cNvPr id="0" name="A 28806-2024 karta.png"/>
                    <pic:cNvPicPr/>
                  </pic:nvPicPr>
                  <pic:blipFill>
                    <a:blip r:embed="rId16"/>
                    <a:stretch>
                      <a:fillRect/>
                    </a:stretch>
                  </pic:blipFill>
                  <pic:spPr>
                    <a:xfrm>
                      <a:off x="0" y="0"/>
                      <a:ext cx="514287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6558988, E 577259 i SWEREF 99 TM.</w:t>
      </w:r>
    </w:p>
    <w:p>
      <w:r>
        <w:t>I och inom 23 meter från avverkningsanmälan finns fynd av 51 naturvårdsarter, varav 28 är rödlistade, 16 är fridlysta, 28 är typiska (T) och 11 är signalarter (S): blackticka (VU), goliatmusseron (VU, T), gul taggsvamp (VU, T), jättemusseron (VU), knärot (VU, T, §8), rotfingersvamp (VU), blå taggsvamp (NT, T), dofttaggsvamp (NT, T), dropptaggsvamp (NT, T), fjällig taggsvamp s.str. (NT), fyrflikig jordstjärna (NT, T), gultoppig fingersvamp (NT), jungfrulin (NT), kattfotslav (NT, T), koralltaggsvamp (NT, T), motaggsvamp (NT, T), nordfladdermus (NT, §4a), orange taggsvamp (NT, T), skarp dropptaggsvamp (NT), svartvit taggsvamp (NT), svinrot (NT), tallticka (NT, T), talltita (NT, §4), ullticka (NT, T), vedskivlav (NT, T), vippärt (NT, T), vårstarr (NT), vårärt (NT, T), blomkålssvamp (S), blåmossa (S, T), bronshjon (S, T), granbarkgnagare (S, T), grovticka (S, T), grön sköldmossa (S, T, §8), grönpyrola (S, T), mindre märgborre (S, T), rödgul trumpetsvamp (S), vedticka (S, T), vågbandad barkbock (S), järpe (T, §4), mattlummer (T, §9), spillkråka (T, §4), tjäder (T, §4), havsörn (§4), kungsfågel (§4), huggorm (§6), vanlig groda (§6), vanlig padda (§6), vanlig snok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112 fyndplatser för knärot registrerade på Artportalen. Figur 2 visar gränserna för buffertzoner på 50 m, som behöver lämnas kring fyndplatserna för att knärotslokalerna inte ska försvinna vid en avverkning. Av det avverkningsanmälda området överlappar 17.26 ha med buffertzonerna och får av detta skäl inte avverkas.</w:t>
      </w:r>
    </w:p>
    <w:p>
      <w:pPr>
        <w:pStyle w:val="Caption"/>
      </w:pPr>
      <w:r>
        <w:drawing>
          <wp:inline xmlns:a="http://schemas.openxmlformats.org/drawingml/2006/main" xmlns:pic="http://schemas.openxmlformats.org/drawingml/2006/picture">
            <wp:extent cx="5486400" cy="5005633"/>
            <wp:docPr id="2" name="Picture 2"/>
            <wp:cNvGraphicFramePr>
              <a:graphicFrameLocks noChangeAspect="1"/>
            </wp:cNvGraphicFramePr>
            <a:graphic>
              <a:graphicData uri="http://schemas.openxmlformats.org/drawingml/2006/picture">
                <pic:pic>
                  <pic:nvPicPr>
                    <pic:cNvPr id="0" name="A 28806-2024 karta knärot.png"/>
                    <pic:cNvPicPr/>
                  </pic:nvPicPr>
                  <pic:blipFill>
                    <a:blip r:embed="rId17"/>
                    <a:stretch>
                      <a:fillRect/>
                    </a:stretch>
                  </pic:blipFill>
                  <pic:spPr>
                    <a:xfrm>
                      <a:off x="0" y="0"/>
                      <a:ext cx="5486400" cy="50056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6558988, E 577259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gul taggsvamp (VU, T), knärot (VU, T, §8), blå taggsvamp (NT, T), dofttaggsvamp (NT, T), dropptaggsvamp (NT, T), fyrflikig jordstjärna (NT, T), kattfotslav (NT, T), koralltaggsvamp (NT, T), motaggsvamp (NT, T), orange taggsvamp (NT, T), tallticka (NT, T), ullticka (NT, T), vedskivlav (NT, T), vippärt (NT, T), vårärt (NT, T), blåmossa (S, T), bronshjon (S, T), granbarkgnagare (S, T), grovticka (S, T), grön sköldmossa (S, T, §8), grönpyrola (S, T), mindre märgborre (S, T), vedticka (S, T), järpe (T, §4),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