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54002-2022 i Katrineholms kommun</w:t>
      </w:r>
    </w:p>
    <w:p>
      <w:r>
        <w:t>Detta klagomål behandlar höga naturvärden i avverkningsanmälan A 54002-2022 i Katrineholms kommun som inkom 2022-11-11 och omfattar 18,0 ha.</w:t>
      </w:r>
    </w:p>
    <w:p>
      <w:pPr>
        <w:pStyle w:val="Caption"/>
      </w:pPr>
      <w:r>
        <w:drawing>
          <wp:inline xmlns:a="http://schemas.openxmlformats.org/drawingml/2006/main" xmlns:pic="http://schemas.openxmlformats.org/drawingml/2006/picture">
            <wp:extent cx="4467080" cy="5724000"/>
            <wp:docPr id="1" name="Picture 1"/>
            <wp:cNvGraphicFramePr>
              <a:graphicFrameLocks noChangeAspect="1"/>
            </wp:cNvGraphicFramePr>
            <a:graphic>
              <a:graphicData uri="http://schemas.openxmlformats.org/drawingml/2006/picture">
                <pic:pic>
                  <pic:nvPicPr>
                    <pic:cNvPr id="0" name="A 54002-2022 karta.png"/>
                    <pic:cNvPicPr/>
                  </pic:nvPicPr>
                  <pic:blipFill>
                    <a:blip r:embed="rId16"/>
                    <a:stretch>
                      <a:fillRect/>
                    </a:stretch>
                  </pic:blipFill>
                  <pic:spPr>
                    <a:xfrm>
                      <a:off x="0" y="0"/>
                      <a:ext cx="446708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6538441, E 574397 i SWEREF 99 TM.</w:t>
      </w:r>
    </w:p>
    <w:p>
      <w:r>
        <w:t>I och inom 1 meter från avverkningsanmälan finns fynd av 9 naturvårdsarter, varav 1 är rödlistad, 4 är fridlysta, 4 är typiska (T) och 4 är signalarter (S): skogsalm (EN), björksplintborre (S), fällmossa (S, T), hasselticka (S, T), stekelbock (S, T), blåsippa (T, §9), åkergroda (§4a),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