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rotfingersvamp (VU), fyrflikig jordstjärna (NT), granticka (NT), gul taggsvamp (NT), spillkråka (NT, §4), tallticka (NT), talltita (NT, §4), vedskivlav (NT), vippärt (NT), blåmossa (S), bronshjon (S), dropptaggsvamp (S), grovticka (S), grönpyrola (S), mindre märgborre (S), vågbandad barkbock (S), kungsfågel (§4), tjäder (§4), vanlig padda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76 fyndplatser för knärot registrerade på Artportalen. Figur 2 visar gränserna för buffertzoner på 50 m, som behöver lämnas kring fyndplatserna för att knärotslokalerna inte ska försvinna vid en avverkning. Av det avverkningsanmälda området överlappar 14.75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