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44527-2026 i Katrineholms kommun</w:t>
      </w:r>
    </w:p>
    <w:p>
      <w:r>
        <w:t>Denna tillsynsbegäran behandlar höga naturvärden i avverkningsanmälan A 44527-2026 i Katrineholms kommun som inkom 2026-10-26 och omfattar 1,6 ha.</w:t>
      </w:r>
    </w:p>
    <w:p>
      <w:pPr>
        <w:pStyle w:val="Caption"/>
      </w:pPr>
      <w:r>
        <w:drawing>
          <wp:inline xmlns:a="http://schemas.openxmlformats.org/drawingml/2006/main" xmlns:pic="http://schemas.openxmlformats.org/drawingml/2006/picture">
            <wp:extent cx="5486400" cy="5404680"/>
            <wp:docPr id="1" name="Picture 1"/>
            <wp:cNvGraphicFramePr>
              <a:graphicFrameLocks noChangeAspect="1"/>
            </wp:cNvGraphicFramePr>
            <a:graphic>
              <a:graphicData uri="http://schemas.openxmlformats.org/drawingml/2006/picture">
                <pic:pic>
                  <pic:nvPicPr>
                    <pic:cNvPr id="0" name="A 44527-2026 karta.png"/>
                    <pic:cNvPicPr/>
                  </pic:nvPicPr>
                  <pic:blipFill>
                    <a:blip r:embed="rId16"/>
                    <a:stretch>
                      <a:fillRect/>
                    </a:stretch>
                  </pic:blipFill>
                  <pic:spPr>
                    <a:xfrm>
                      <a:off x="0" y="0"/>
                      <a:ext cx="5486400" cy="540468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6534084, E 574884 i SWEREF 99 TM.</w:t>
      </w:r>
    </w:p>
    <w:p>
      <w:r>
        <w:t>I och inom 21 meter från avverkningsanmälan finns fynd av 6 naturvårdsarter, varav 3 är rödlistade, 1 är typisk (T) och 3 är signalarter (S): igelkott (VU), skogsklocka (NT), svinrot (NT), scharlakansskål (S), scharlakansvårskål agg. (S)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