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knärot (VU, §8), rotfingersvamp (VU), dofttaggsvamp (NT), fyrflikig jordstjärna (NT), granticka (NT), gul taggsvamp (NT), gultoppig fingersvamp (NT), motaggsvamp (NT), orange taggsvamp (NT), spillkråka (NT, §4), svart taggsvamp (NT), svartvit taggsvamp (NT), svinrot (NT), tallticka (NT), talltita (NT, §4),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103 fyndplatser för knärot registrerade på Artportalen. Figur 2 visar gränserna för buffertzoner på 50 m, som behöver lämnas kring fyndplatserna för att knärotslokalerna inte ska försvinna vid en avverkning. Av det avverkningsanmälda området överlappar 16.38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