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Vägledning för hänsyn till pipistrell.</w:t>
      </w:r>
    </w:p>
    <w:p>
      <w:r>
        <w:t>SLU Artdatabanken, 2024.</w:t>
      </w:r>
      <w:r>
        <w:rPr>
          <w:i/>
        </w:rPr>
        <w:t xml:space="preserve">  Artfakta: dvärgpipistrell (Pipistrellus pygmaeus).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