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30651-2024 i Eskilstuna kommun</w:t>
      </w:r>
    </w:p>
    <w:p>
      <w:r>
        <w:t>Detta dokument behandlar höga naturvärden i avverkningsanmälan A 30651-2024 i Eskilstuna kommun. Denna avverkningsanmälan inkom 2024-07-22 och omfattar 4,1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7 naturvårdsarter hittats: skogsalm (CR), ask (EN), spillkråka (NT, §4), svart trolldruva (S), grönvit nattviol (§8), nattviol (§8) och blåsippa (§9). Av dessa är 3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966619"/>
            <wp:docPr id="1" name="Picture 1"/>
            <wp:cNvGraphicFramePr>
              <a:graphicFrameLocks noChangeAspect="1"/>
            </wp:cNvGraphicFramePr>
            <a:graphic>
              <a:graphicData uri="http://schemas.openxmlformats.org/drawingml/2006/picture">
                <pic:pic>
                  <pic:nvPicPr>
                    <pic:cNvPr id="0" name="A 30651-2024 karta.png"/>
                    <pic:cNvPicPr/>
                  </pic:nvPicPr>
                  <pic:blipFill>
                    <a:blip r:embed="rId16"/>
                    <a:stretch>
                      <a:fillRect/>
                    </a:stretch>
                  </pic:blipFill>
                  <pic:spPr>
                    <a:xfrm>
                      <a:off x="0" y="0"/>
                      <a:ext cx="5486400" cy="496661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6577645, E 585560 i SWEREF 99 TM.</w:t>
      </w:r>
    </w:p>
    <w:p>
      <w:pPr>
        <w:pStyle w:val="Heading1"/>
      </w:pPr>
      <w:r>
        <w:t>Fridlysta arter</w:t>
      </w:r>
    </w:p>
    <w:p>
      <w:r>
        <w:t>Följande fridlysta arter har sina livsmiljöer och växtplatser i den avverkningsanmälda skogen: spillkråka (NT, §4), grönvit nattviol (§8), nattviol (§8) och blåsippa (§9).</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t>I BILAGA 1 finns mer detaljerad information om ekologi samt krav på livsmiljö hos fridlysta arter.</w:t>
      </w:r>
    </w:p>
    <w:p>
      <w:r>
        <w:br w:type="page"/>
      </w:r>
    </w:p>
    <w:p>
      <w:pPr>
        <w:pStyle w:val="Title"/>
      </w:pPr>
      <w:r>
        <w:t>BILAGA 1 – Fridlysta arter</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w:t>
      </w:r>
    </w:p>
    <w:p>
      <w:r>
        <w:t>Varje par utnyttjar 400–1000 hektar skog beroende på skogens kvalitet. En minskning av populationen pågår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2025-03-06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