
<file path=[Content_Types].xml><?xml version="1.0" encoding="utf-8"?>
<Types xmlns="http://schemas.openxmlformats.org/package/2006/content-types">
  <Default Extension="jpeg" ContentType="image/jpeg"/>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17144-2023 i Eskilstuna kommun</w:t>
      </w:r>
    </w:p>
    <w:p>
      <w:r>
        <w:t>Denna tillsynsbegäran behandlar höga naturvärden i avverkningsanmälan A 17144-2023 i Eskilstuna kommun som inkom 2023-04-18 och omfattar 3,8 ha.</w:t>
      </w:r>
    </w:p>
    <w:p>
      <w:pPr>
        <w:pStyle w:val="Caption"/>
      </w:pPr>
      <w:r>
        <w:drawing>
          <wp:inline xmlns:a="http://schemas.openxmlformats.org/drawingml/2006/main" xmlns:pic="http://schemas.openxmlformats.org/drawingml/2006/picture">
            <wp:extent cx="4490685" cy="5724000"/>
            <wp:docPr id="1" name="Picture 1"/>
            <wp:cNvGraphicFramePr>
              <a:graphicFrameLocks noChangeAspect="1"/>
            </wp:cNvGraphicFramePr>
            <a:graphic>
              <a:graphicData uri="http://schemas.openxmlformats.org/drawingml/2006/picture">
                <pic:pic>
                  <pic:nvPicPr>
                    <pic:cNvPr id="0" name="A 17144-2023 karta.png"/>
                    <pic:cNvPicPr/>
                  </pic:nvPicPr>
                  <pic:blipFill>
                    <a:blip r:embed="rId16"/>
                    <a:stretch>
                      <a:fillRect/>
                    </a:stretch>
                  </pic:blipFill>
                  <pic:spPr>
                    <a:xfrm>
                      <a:off x="0" y="0"/>
                      <a:ext cx="4490685" cy="5724000"/>
                    </a:xfrm>
                    <a:prstGeom prst="rect"/>
                  </pic:spPr>
                </pic:pic>
              </a:graphicData>
            </a:graphic>
          </wp:inline>
        </w:drawing>
      </w:r>
    </w:p>
    <w:p>
      <w:pPr>
        <w:pStyle w:val="Caption"/>
        <w:spacing w:after="240"/>
      </w:pPr>
      <w:r>
        <w:t>Figur 1. Fyndplatser för naturvårdsarter i och inom 25 meter från avverkningsanmälan. Markörer utan svart kant är placerade på fyndplatsen. Markörer med svart kant är placerade vid sidan av fyndplatsen och har ett svart streck som visar fyndplatsens exakta position. Kartans mittpunktskoordinat är N 6576237, E 563390 i SWEREF 99 TM.</w:t>
      </w:r>
    </w:p>
    <w:p>
      <w:r>
        <w:t>I och inom 25 meter från avverkningsanmälan finns fynd av 7 naturvårdsarter, varav 5 är rödlistade, 2 är fridlysta, 5 är typiska (T) och 1 är signalart (S): knärot (VU, T, §8), dropptaggsvamp (NT, T), grantaggsvamp (NT), motaggsvamp (NT, T), talltaggsvamp (NT), mindre märgborre (S, T) och spillkråka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begär vidare att Skogsstyrelsen säkerställer att inga skador eller försämringar av naturtypens bevarandestatus i området tillåts ske. Se Rådets direktiv 92/43/EEG samt ickeförsämringskravet i EU:s naturrestaureringsförordning (EU 2024/1991).</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Ytterligare en studie visar på den starka korrelationen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35 fyndplatser för knärot registrerade på Artportalen. Figur 2 visar gränserna för buffertzoner på 50 m, som behöver lämnas kring fyndplatserna för att knärotslokalerna inte ska försvinna vid en avverkning. Av det avverkningsanmälda området överlappar 2.99 ha med buffertzonerna och får av detta skäl inte avverkas.</w:t>
      </w:r>
    </w:p>
    <w:p>
      <w:pPr>
        <w:pStyle w:val="Caption"/>
      </w:pPr>
      <w:r>
        <w:drawing>
          <wp:inline xmlns:a="http://schemas.openxmlformats.org/drawingml/2006/main" xmlns:pic="http://schemas.openxmlformats.org/drawingml/2006/picture">
            <wp:extent cx="5486400" cy="9990879"/>
            <wp:docPr id="2" name="Picture 2"/>
            <wp:cNvGraphicFramePr>
              <a:graphicFrameLocks noChangeAspect="1"/>
            </wp:cNvGraphicFramePr>
            <a:graphic>
              <a:graphicData uri="http://schemas.openxmlformats.org/drawingml/2006/picture">
                <pic:pic>
                  <pic:nvPicPr>
                    <pic:cNvPr id="0" name="A 17144-2023 karta knärot.png"/>
                    <pic:cNvPicPr/>
                  </pic:nvPicPr>
                  <pic:blipFill>
                    <a:blip r:embed="rId17"/>
                    <a:stretch>
                      <a:fillRect/>
                    </a:stretch>
                  </pic:blipFill>
                  <pic:spPr>
                    <a:xfrm>
                      <a:off x="0" y="0"/>
                      <a:ext cx="5486400" cy="9990879"/>
                    </a:xfrm>
                    <a:prstGeom prst="rect"/>
                  </pic:spPr>
                </pic:pic>
              </a:graphicData>
            </a:graphic>
          </wp:inline>
        </w:drawing>
      </w:r>
    </w:p>
    <w:p>
      <w:pPr>
        <w:pStyle w:val="Caption"/>
        <w:spacing w:after="240"/>
      </w:pPr>
      <w:r>
        <w:t>Figur 2. Fyndplatser och buffertzoner för knärot i det avverkningsanmälda området. Endast fyndplatser vars buffertzoner överlappar med det avverkningsanmälda området har tagits med i visualiseringen. Kartans mittpunktskoordinat är N 6576237, E 563390 i SWEREF 99 TM.</w:t>
      </w:r>
    </w:p>
    <w:p>
      <w:r>
        <w:rPr>
          <w:b/>
        </w:rPr>
        <w:t>Dropptaggsvamp (NT)</w:t>
      </w:r>
      <w:r>
        <w:t xml:space="preserve"> bildar mykorrhiza med tall, främst i barrskog med trädkontinuitet, i magra, torra och ljusöppna lavtallskogar och i barrblandskogar med friskmossor och lingon i fältskiktet. Den totala populationen i landet har minskat och bedöms fortsätta minska till följd av slutavverkningar av tallskog. Det är högst oklart om arten långsiktigt kan etablera och reproducera sig i skogsbestånd som brukas med trakthyggesmetoder, markberedning, gödsling eller föryngring med förädlat plantmaterial. Uppfyller kriterierna för att bli rödlistad på grund av ny kunskap som visar att en större andel av populationen än tidigare bedömt är knuten till kontinuitetsbarrskog. Minskningstakten för den svenska populationen bedöms vara nära gränsvärdet för Sårbar (VU). Dropptaggsvamp är typisk art för </w:t>
      </w:r>
      <w:r>
        <w:rPr>
          <w:i/>
        </w:rPr>
        <w:t xml:space="preserve">9010 Taiga </w:t>
      </w:r>
      <w:r>
        <w:t>(SLU Artdatabanken, 2026).</w:t>
      </w:r>
    </w:p>
    <w:p>
      <w:r>
        <w:rPr>
          <w:b/>
        </w:rPr>
        <w:t xml:space="preserve">Grantaggsvamp (NT) </w:t>
      </w:r>
      <w:r>
        <w:t>påträffas främst i mossiga och örtrika äldre granskogar på kalkrik mark i något fuktiga lägen, och i norr även i mager tallskog med lång kontinuitet. Arten missgynnas generellt av trakthyggesbruket och en långsiktig tillgång till värdträd bör säkras genom att man undviker att avverka kända växtplatser (SLU Artdatabanken, 2024).</w:t>
      </w:r>
    </w:p>
    <w:p>
      <w:r>
        <w:rPr>
          <w:b/>
        </w:rPr>
        <w:t xml:space="preserve">Motaggsvamp (NT) </w:t>
      </w:r>
      <w:r>
        <w:t xml:space="preserve">bildar mykorrhiza med tall i tallskog och hittas huvudsakligen i äldre, glesare skogsbestånd och hällmarksimpediment. Arten hotas främst av skogsavverkning och tycks försvinna efter slutavverkning, markberedning och plantering. Motaggsvamp är typisk art för </w:t>
      </w:r>
      <w:r>
        <w:rPr>
          <w:i/>
        </w:rPr>
        <w:t>9010 Taiga</w:t>
      </w:r>
      <w:r>
        <w:t xml:space="preserve"> (SLU Artdatabanken, 2024).</w:t>
      </w:r>
    </w:p>
    <w:p>
      <w:r>
        <w:rPr>
          <w:b/>
        </w:rPr>
        <w:t xml:space="preserve">Talltaggsvamp (NT) </w:t>
      </w:r>
      <w:r>
        <w:t>förekommer främst i tallnaturskogar eller tallskogar av kontinuitetsskogskaraktär där den bildar mykorrhiza med tall. Särskilt frekvent är den i sandtallskogar med inslag av gamla träd, t.ex. på grusåsar, stränder och sandhedar. Arten hotas främst av skogsavverkning och tycks försvinna efter slutavverkning, markberedning och plantering. Talltaggsvamp är globalt rödlistad som nära hotad (NT) vilket innebär att Sverige har ett internationellt ansvar för arten (IUCN, 2025; SLU Artdatabanken, 2024).</w:t>
      </w:r>
    </w:p>
    <w:p>
      <w:r>
        <w:rPr>
          <w:b/>
        </w:rPr>
        <w:t>Mindre märgborre</w:t>
      </w:r>
      <w:r>
        <w:t xml:space="preserve"> är en signalart för tallskog med höga naturvärden och betraktas tillsammans med skarptandad barkborre som nyckelarter för ett antal sällsynta åtgärdsprogramsarter som är beroende av deras gångsystem. Bland dessa kan nämnas avlång barkborre (VU), </w:t>
      </w:r>
      <w:r>
        <w:rPr>
          <w:i/>
        </w:rPr>
        <w:t>Corticeus longulus</w:t>
      </w:r>
      <w:r>
        <w:t xml:space="preserve"> (VU), tallgångbagge (VU), cholodkovskys bastborre (NT) och tallbarksvartbagge (NT). Den mindre märgborrens måsvingeliknande gnaggångar är lätta att känna igen och hittas ofta på grova tallgrenar på marken. 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Tallskogar med stark förekomst av mindre märgborre och skarptandad barkborre bör avsättas som reservat. Generellt bör hänsyn tas vid slutavverkning av talldominerad skog så att avverkningsrester som gren- och toppdelar lämnas. Mindre märgborre är typisk art för </w:t>
      </w:r>
      <w:r>
        <w:rPr>
          <w:i/>
        </w:rPr>
        <w:t>9060 Åsbarrskog</w:t>
      </w:r>
      <w:r>
        <w:t xml:space="preserve"> (SLU Artdatabanken, 2026; Pettersson, 2014; Hedgren, 2012; Gunnarsson m fl., 1999).</w:t>
      </w:r>
    </w:p>
    <w:p>
      <w:r>
        <w:rPr>
          <w:b/>
        </w:rPr>
        <w:t>Spillkråka (§4)</w:t>
      </w:r>
      <w:r>
        <w:t xml:space="preserve"> omfattas av bilaga 1 i EU:s fågeldirektiv och är typisk art för </w:t>
      </w:r>
      <w:r>
        <w:rPr>
          <w:i/>
        </w:rPr>
        <w:t xml:space="preserve">9010 Taiga </w:t>
      </w:r>
      <w:r>
        <w:t>och</w:t>
      </w:r>
      <w:r>
        <w:rPr>
          <w:i/>
        </w:rPr>
        <w:t xml:space="preserve"> 9740 Skogsbevuxen myr</w:t>
      </w:r>
      <w:r>
        <w:t>. Den behöver grova träd, främst tall, asp och bok som boträd. Skogsbruk med korta omloppstider och täta, homogena ungskogar utgör det största hotet. 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(SLU Artdatabanken, 2026; Skogsstyrelsen, 2016).</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pPr>
        <w:pStyle w:val="Heading1"/>
      </w:pPr>
      <w:r>
        <w:t>Typiska arter och EU:s art- och habitatdirektiv</w:t>
      </w:r>
    </w:p>
    <w:p>
      <w:r>
        <w:t>Typiska arter används för att lokalisera områden med gynnsam bevarandestatus för de naturtyper som är listade i EU:s art- och habitatdirektiv. Ett exempel är Västlig taiga (EU-kod 9010) som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w:t>
      </w:r>
    </w:p>
    <w:p>
      <w:r>
        <w:t>Följande typiska arter har sina livsmiljöer och växtplatser i den avverkningsanmälda skogen: knärot (VU, T, §8), dropptaggsvamp (NT, T), motaggsvamp (NT, T), mindre märgborre (S, T) och spillkråka (T, §4).</w:t>
      </w:r>
    </w:p>
    <w:p>
      <w:r>
        <w:t>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r>
        <w:t>Trots detta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w:t>
      </w:r>
      <w:r>
        <w:rPr>
          <w:b/>
        </w:rPr>
        <w:t xml:space="preserve"> </w:t>
      </w:r>
      <w:r>
        <w:t>inte har gynnsam bevarandestatus.</w:t>
      </w:r>
    </w:p>
    <w:p>
      <w:r>
        <w:t>Åtgärder som vidtas i enlighet med art- och habitatdirektivet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w:t>
      </w:r>
    </w:p>
    <w:p>
      <w:r>
        <w:t>EU-direktiv är bindande för EU:s medlemsländer varvid det ankommer på Skogsstyrelsen som nationell tillsynsmyndighet att beakta syftet med EU:s art- och habitatdirektiv vid prövningen av en skogsbruksverksamhet, se Rådets direktiv 92/43/EEG. Se ytterligare information om EU:s livsmiljödirektiv i bilaga 2.</w:t>
      </w:r>
    </w:p>
    <w:p>
      <w:r>
        <w:br w:type="page"/>
      </w:r>
    </w:p>
    <w:p>
      <w:pPr>
        <w:pStyle w:val="Title"/>
      </w:pPr>
      <w:r>
        <w:t>BILAGA 1 –</w:t>
        <w:br/>
        <w:t>Fridlysta och rödlistade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 Detta stöds även av en studie (Johansson et al, 2026) baserad på data från Riksskogstaxeringen som visar att knäroten minskat med 66 % under perioden 1993–2022 samt att det finns en stark korrelation mellan minskande arealer kontinuitetsskog och lokal utdöenderisk. Knäroten uppvisade en mycket låg koloniseringsgrad (0,7 % över 10 år) i kombination med hög lokal utrotningsrisk (75,2 %), där utrotningssannolikheten ökade kraftigt när arealen kontinuitetsskog minskade mellan undersökningar, t.ex. på grund av kalhyggesbruk (Johansson et al., 2026).</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Ytterligare en studie (Koelmeijer m.fl., 2022) inkluderar knärotens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Johansson, V., Jansson, M. och Bergman, K-O</w:t>
      </w:r>
      <w:r>
        <w:rPr>
          <w:i/>
        </w:rPr>
        <w:t>.</w:t>
      </w:r>
      <w:r>
        <w:t>, 2026.</w:t>
      </w:r>
      <w:r>
        <w:rPr>
          <w:i/>
        </w:rPr>
        <w:t xml:space="preserve"> A 30-year population decline of a threatened forest orchid associated with old growth forests</w:t>
      </w:r>
      <w:r>
        <w:t>. Department of Physics, Chemistry and Biology (IFM), Linköping University.</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p>
      <w:pPr>
        <w:pStyle w:val="Heading1"/>
      </w:pPr>
      <w:r>
        <w:t>Mindre märgborre – ekologi samt krav på livsmiljön</w:t>
      </w:r>
    </w:p>
    <w:p>
      <w:r>
        <w:t xml:space="preserve">Mindre märgborre är en signalart för tallskog med höga naturvärden och kan lätt konstateras genom sina karaktäristiska måsvingeliknande gnagspår som ofta hittas på grova tallgrenar på marken. Mindre märgborre betraktas tillsammans med skarptandad barkborre som nyckelarter, eftersom en rad sällsynta efterföljande arter är beroende av deras gångsystem. Bland dessa kan nämnas åtgärdsprogramsarterna avlång barkborre (VU), </w:t>
      </w:r>
      <w:r>
        <w:rPr>
          <w:i/>
        </w:rPr>
        <w:t>Corticeus longulus</w:t>
      </w:r>
      <w:r>
        <w:t xml:space="preserve"> (VU), tallgångbagge (VU), cholodkovskys bastborre (NT) och tallbarksvartbagge (NT) (Pettersson, 2014; Gunnarsson m fl., 1999).</w:t>
      </w:r>
    </w:p>
    <w:p>
      <w:r>
        <w:t>Tallskogar tillhör de livsmiljöer som förändrats i stor skala, där många kvadratmil har omvandlats till unga produktionsskogar. I sådana skogar saknas förutsättningar för de ovannämnda sällsynta barkborrarna och alltmer kunskap tyder på att skogsbrukets omvandling av skogslandskapet, missgynnar åtgärdsprogrammets arter även inne i skyddade områden (Hedgren, 2012; Hedgren m.fl., 2010; Wikars m.fl., 2010; Wikars, 2009). Orsaken är sannolikt att dagens intensiva skogsbruk trivialiserar faunan på nydöda träd. Detta sker genom att generalister förökas upp i sådan grad i den brukade skogen att dessa även kommer att dominera i de för hållandevis små och fragmenterade områden som avsätts för naturvård (Appelqvist, 2005; Janzen, 1983; Ås, 1999).</w:t>
      </w:r>
    </w:p>
    <w:p>
      <w:r>
        <w:t>Ett tydligt exempel på en generalist som gynnas av dagens skogsbruk är större märgborre på nydöd tall. Denna utvecklas förutom i vindfällen gärna i avverkningsavfall, inklusive avverkningsstubbar och röjningsstammar. Därmed har den större märgborren möjlighet att upprätthålla stora och stabila populationer på huvuddelen av landets skogsmark, vilket leder till en trivialisering av faunan. Större märgborre inverkar sannolikt direkt negativt på arter som tolvtandad barkborre (EN) och avlång barkborre (VU), och indirekt på de som är gynnade av blånadssvampar, dvs. följearter till framförallt mindre märgborre och skarptandad barkborre. De barkborrar som missgynnas av större märgborre är i mycket högre grad gynnade av tallar som dör genom självgallring, dvs. i normalfallet skog som inte används till skogsproduktion (Pettersson, 2014; Wikars, skriftl.).</w:t>
      </w:r>
    </w:p>
    <w:p>
      <w:r>
        <w:t xml:space="preserve">Rika förekomster av främst mindre märgborre men även skarptandad barkborre är en signal för artrikedom och inventeringar har visat att det är i skogar med en naturlig självgallring som det skapas förutsättningar för dessa arter samt de efterföljande åtgärdsprogramsarterna (Pettersson, 2014; Hedgren, 2012). Tallskogar med stark förekomst av mindre märgborre och skarptandad barkborre bör avsättas som reservat. Generellt bör hänsyn tas vid slutavverkning av talldominerad skog så att avverkningsrester som gren- och toppdelar (s.k. GROT) lämnas. Mindre märgborre är typisk art för </w:t>
      </w:r>
      <w:r>
        <w:rPr>
          <w:i/>
        </w:rPr>
        <w:t>9060 Åsbarrskog</w:t>
      </w:r>
      <w:r>
        <w:t xml:space="preserve"> (Pettersson, 2014; SLU Artdatabanken, 2026).</w:t>
      </w:r>
    </w:p>
    <w:p>
      <w:pPr>
        <w:pStyle w:val="Heading2"/>
      </w:pPr>
      <w:r>
        <w:t>Referenser – mindre märgborre</w:t>
      </w:r>
    </w:p>
    <w:p>
      <w:r>
        <w:t xml:space="preserve">Appelqvist, T., 2005. </w:t>
      </w:r>
      <w:r>
        <w:rPr>
          <w:i/>
        </w:rPr>
        <w:t>Naturvårdsbiologisk forskning. Underlag för områdesskydd i landskapet.</w:t>
      </w:r>
      <w:r>
        <w:t xml:space="preserve"> Naturvårdsverket, Rapport 5452.</w:t>
      </w:r>
    </w:p>
    <w:p>
      <w:r>
        <w:t xml:space="preserve">Gunnarsson, B., Pettersson, R. B., Hake, M. och Hultengren, S. &amp; Sjöberg, K., 1999. </w:t>
      </w:r>
      <w:r>
        <w:rPr>
          <w:i/>
        </w:rPr>
        <w:t xml:space="preserve">Spindlar och skalbaggar som indikatorer i barrskog. </w:t>
      </w:r>
      <w:r>
        <w:t>Skog &amp; Forskning, Nr. 2/99, s. 46–51.</w:t>
      </w:r>
    </w:p>
    <w:p>
      <w:r>
        <w:t xml:space="preserve">Hedgren, O., 2012. </w:t>
      </w:r>
      <w:r>
        <w:rPr>
          <w:i/>
        </w:rPr>
        <w:t>Hotade insekter på tallved i Dalarna.</w:t>
      </w:r>
      <w:r>
        <w:t xml:space="preserve"> Länsstyrelsen Dalarna, Naturvårdsenheten. Rapport 2012:16.</w:t>
      </w:r>
    </w:p>
    <w:p>
      <w:r>
        <w:t xml:space="preserve">Hedgren, O. 2010. </w:t>
      </w:r>
      <w:r>
        <w:rPr>
          <w:i/>
        </w:rPr>
        <w:t>Vedinsekter i tallskog och på brandfält i Värmland.</w:t>
      </w:r>
      <w:r>
        <w:t xml:space="preserve"> Länsstyrelsen Värmland, Stencil, 39 s.</w:t>
      </w:r>
    </w:p>
    <w:p>
      <w:r>
        <w:t xml:space="preserve">Janzen, D. H., 1983. </w:t>
      </w:r>
      <w:r>
        <w:rPr>
          <w:i/>
        </w:rPr>
        <w:t>No park is an island: Increase in interference from outside as park size decreases</w:t>
      </w:r>
      <w:r>
        <w:t>. Oikos 41: 402–410.</w:t>
      </w:r>
    </w:p>
    <w:p>
      <w:r>
        <w:t xml:space="preserve">Jonsell, M., Weslien, J. &amp; Ehn ström, B., 1998. </w:t>
      </w:r>
      <w:r>
        <w:rPr>
          <w:i/>
        </w:rPr>
        <w:t>Substrate requirements of red-listed saproxylic invertebrates in Sweden</w:t>
      </w:r>
      <w:r>
        <w:t>. Biodiversity and Conserv. 7: 749–764.</w:t>
      </w:r>
    </w:p>
    <w:p>
      <w:r>
        <w:t xml:space="preserve">Pettersson, R. B., 2014). </w:t>
      </w:r>
      <w:r>
        <w:rPr>
          <w:i/>
        </w:rPr>
        <w:t>Åtgärdsprogram för skalbaggar på nyligen död tall, 2014–2018.</w:t>
      </w:r>
      <w:r>
        <w:t xml:space="preserve"> Rapport 6599. Bromma: Naturvårdsverket.</w:t>
      </w:r>
    </w:p>
    <w:p>
      <w:r>
        <w:t xml:space="preserve">SLU Artdatabanken, 2026. </w:t>
      </w:r>
      <w:r>
        <w:rPr>
          <w:i/>
        </w:rPr>
        <w:t xml:space="preserve">Artfaktablad. Naturvård – artfakta. </w:t>
      </w:r>
      <w:r>
        <w:t>SLU Artdatabanken, Uppsala.</w:t>
      </w:r>
    </w:p>
    <w:p>
      <w:r>
        <w:t xml:space="preserve">Wikars, L.-O., Hansson, J. &amp; Hedgren, O., 2010. </w:t>
      </w:r>
      <w:r>
        <w:rPr>
          <w:i/>
        </w:rPr>
        <w:t>Inventering av vedlevande skalbaggar – tallskogar i Örebro län.</w:t>
      </w:r>
      <w:r>
        <w:t xml:space="preserve"> Länsstyrelsen i Örebro län, publ.nr. 2010:2.</w:t>
      </w:r>
    </w:p>
    <w:p>
      <w:r>
        <w:t xml:space="preserve">Wikars, L.-O., 2009. </w:t>
      </w:r>
      <w:r>
        <w:rPr>
          <w:i/>
        </w:rPr>
        <w:t>Vedskalbaggar i Hamra nationalpark, Gävleborgs län.</w:t>
      </w:r>
      <w:r>
        <w:t xml:space="preserve"> Länsstyrelsen Gävleborg, Rapport 2009:14.</w:t>
      </w:r>
    </w:p>
    <w:p>
      <w:pPr>
        <w:pStyle w:val="Heading1"/>
      </w:pPr>
      <w:r>
        <w:t>Spillkråka – ekologi samt krav på livsmiljön</w:t>
      </w:r>
    </w:p>
    <w:p>
      <w:r>
        <w:t xml:space="preserve">Spillkråka (§4) ingår i bilaga 1 EU:s fågeldirektiv och är typisk art för </w:t>
      </w:r>
      <w:r>
        <w:rPr>
          <w:i/>
        </w:rPr>
        <w:t xml:space="preserve">9010 Taiga </w:t>
      </w:r>
      <w:r>
        <w:t>och</w:t>
      </w:r>
      <w:r>
        <w:rPr>
          <w:i/>
        </w:rPr>
        <w:t xml:space="preserve"> 9740 Skogsbevuxen myr</w:t>
      </w:r>
      <w:r>
        <w:t>. Den lever i både barr- och blandskog liksom i ren lövskog. De tätaste populationerna tenderar att finnas i äldre, variationsrik blandskog med gott om död ved och gamla träd. Varje par utnyttjar 400–1000 hektar skog beroende på skogens kvalitet. Skogsbruk med korta omloppstider och täta, homogena ungskogar utgör det största hotet (SLU Artdatabanken, 2026).</w:t>
      </w:r>
    </w:p>
    <w:p>
      <w:r>
        <w:t>Spillkråka är en nyckelart i skogliga miljöer vars övergivna bohål utnyttjas av flera andra hålhäckande fågelarter och fladdermöss, däribland pärluggla (EN, §4), knipa (§4), salskrake (§4) och skogsduva (§4). Hökuggla (VU, §4) och slaguggla (§4) häckar ofta i högstubbar som brutits av i höjd med ett gammalt spillkråkebo (Skogsstyrelsen, 2016).</w:t>
      </w:r>
    </w:p>
    <w:p>
      <w:pPr>
        <w:pStyle w:val="Heading2"/>
      </w:pPr>
      <w:r>
        <w:t>Referenser – spillkråka</w:t>
      </w:r>
    </w:p>
    <w:p>
      <w:r>
        <w:t xml:space="preserve">Skogsstyrelsen, 2016. </w:t>
      </w:r>
      <w:r>
        <w:rPr>
          <w:i/>
        </w:rPr>
        <w:t xml:space="preserve">Vägledning för hänsyn till spillkråka. </w:t>
      </w:r>
      <w:r>
        <w:t>Vägledningar och kunskapsstöd artskydd – Skogsstyrelsen.</w:t>
      </w:r>
    </w:p>
    <w:p>
      <w:r>
        <w:t xml:space="preserve">SLU Artdatabanken, 2026. </w:t>
      </w:r>
      <w:r>
        <w:rPr>
          <w:i/>
        </w:rPr>
        <w:t xml:space="preserve">Artfaktablad. Naturvård – artfakta. </w:t>
      </w:r>
      <w:r>
        <w:t>SLU Artdatabanken, Uppsala.</w:t>
      </w:r>
    </w:p>
    <w:p>
      <w:r>
        <w:br w:type="page"/>
      </w:r>
    </w:p>
    <w:p>
      <w:pPr>
        <w:pStyle w:val="Title"/>
      </w:pPr>
      <w:r>
        <w:t>BILAGA 2 – EU:s art- och habitatdirektiv, fågeldirektiv och naturrestaureringsförordning</w:t>
      </w:r>
    </w:p>
    <w:p>
      <w:pPr>
        <w:pStyle w:val="Heading2"/>
      </w:pPr>
      <w:r>
        <w:t>Förenlighet med EU-direktiv</w:t>
      </w:r>
    </w:p>
    <w:p>
      <w:r>
        <w:t>EU-direktiv är bindande för EU:s medlemsländer varvid det ankommer på Skogsstyrelsen som nationell tillsynsmyndighet att beakta syftet med EU:s art- och habitatdirektiv respektive fågeldirektiv vid prövningen av en skogsbruksverksamhet, se Rådets direktiv 92/43/EEG samt 2009/147/EG. Nationella regler som omfattas av ett EU-direktiv ska enligt fast rättspraxis tolkas i enlighet med direktivet, vilket medför en skyldighet för myndigheten att tolka bestämmelser i nationell rätt i ljuset av direktivets ordalydelse, sammanhang och de mål som eftersträvas med direktivet (se EU-domstolens dom i mål C 477/19).</w:t>
      </w:r>
    </w:p>
    <w:p>
      <w:r>
        <w:t>EU:s medlemsstater åläggs i Artikel 3 i fågeldirektivet generella skyldigheter avseende skydd, bevarande och återställande av tillräckligt stora och varierande livsmiljöer för de fågelarter som omfattas av direktivet. Medlemsstaterna ska vidta de åtgärder som är nödvändiga för att bibehålla populationen av fågelarterna på en nivå som svarar särskilt mot ekologiska, vetenskapliga och kulturella behov, eller återupprätta populationen av dessa arter till en sådan nivå (se Europaparlamentets och rådets direktiv 2009/147/EG).</w:t>
      </w:r>
    </w:p>
    <w:p>
      <w:r>
        <w:t>Åtgärder som vidtas i enlighet med art- och habitatdirektivet (92/43/EEG) ska enligt Artikel 2 syfta till att bibehålla eller återställa en gynnsam bevarandestatus hos livsmiljöer samt arter och vilda djur och växter av gemenskapsintresse. Enligt prejudikat från EU-domstolen ska en skogsbruksverksamhet utföras på ett sådant sätt som utgör ett förebyggande och hållbart skogsbruk för att betraktas som förenlig med bevarandekraven i direktivet (se EU-domstolens dom i de förenade målen C 473-19 och C 474-19).</w:t>
      </w:r>
    </w:p>
    <w:p>
      <w:r>
        <w:t xml:space="preserve">Av artikel 1.e samma direktiv framgår att en livsmiljös bevarandestatus anses " gynnsam" när — dess naturliga utbredningsområde och de ytor den täcker inom detta område är stabila eller ökande, och — den särskilda struktur och de särskilda funktioner som är nödvändiga för att den skall kunna bibehållas på lång sikt finns, och sannolikt kommer att finnas under en överskådlig framtid, och — bevarandestatusen hos dess </w:t>
      </w:r>
      <w:r>
        <w:rPr>
          <w:b/>
        </w:rPr>
        <w:t>typiska arter</w:t>
      </w:r>
      <w:r>
        <w:t xml:space="preserve"> är gynnsam enligt definitionen i artikel 1.i. Typiska arter används för att lokalisera områden med gynnsam bevarandestatus för de naturtyper som ingår i EU:s art- och habitatdirektiv.</w:t>
      </w:r>
    </w:p>
    <w:p>
      <w:r>
        <w:t>Västlig taiga (EU-kod 9010) saknar gynnsam bevarandestatus och minskar starkt som naturtyp i Sverige. Naturvårdsverket skriver i sin vägledning för västlig taiga att dylika miljöer förutsätter normalt att skogarna skyddas långsiktigt, eftersom skogsbruk inte är förenligt med bevarande av naturtypen i gynnsamt tillstånd (Naturvårdsverket, 2011). Enligt Sveriges Artikel 17 rapportering 2013 och 2019 till EU, har naturtypen Västlig taiga (9010) dålig bevarandestatus med negativ trend inom Sveriges boreala region. Skogsbruksåtgärder som avverkning, röjning och gallring pekas ut som några av de främst bidragande orsakerna till naturtypens dåliga status och negativa trend (SLU Artdatabanken, 2019). I EU:s uppföljning av tillståndet för naturtyperna i Skandinavien 2013 – 2018 framgår det att i den boreala regionen är tillståndet så dåligt för Västlig taiga (9010) att habitatet löper allvarlig risk att försvinna regionalt (EEA, 2022). Det allvarliga läget för den biologiska mångfalden i skogen framhålls även i Skogsstyren rapport 2026/07:</w:t>
      </w:r>
    </w:p>
    <w:p>
      <w:r>
        <w:rPr>
          <w:i/>
        </w:rPr>
        <w:t>"All avverkning av kända skogliga värdekärnor och sannolika kontinuitetsskogar behöver upphöra för att fylla bristen om 1,56 miljoner hektar bevarad livsmiljötyp. På grund av begränsade kvarvarande arealer av värdekärnor, naturskogar och kontinuitetsskogar leder fortsatt förlust av dessa till en påtaglig risk för långsiktigt negativa effekter för biologisk mångfald i skogslandskapet. Att de återstående arealerna bevaras och ges ett långsiktigt skydd bedöms därför vara av avgörande betydelse."</w:t>
      </w:r>
      <w:r>
        <w:t xml:space="preserve"> (Skogsstyrelsen, 2026).</w:t>
      </w:r>
    </w:p>
    <w:p>
      <w:pPr>
        <w:pStyle w:val="Caption"/>
      </w:pPr>
      <w:r>
        <w:drawing>
          <wp:inline xmlns:a="http://schemas.openxmlformats.org/drawingml/2006/main" xmlns:pic="http://schemas.openxmlformats.org/drawingml/2006/picture">
            <wp:extent cx="5486400" cy="2905862"/>
            <wp:docPr id="3" name="Picture 3"/>
            <wp:cNvGraphicFramePr>
              <a:graphicFrameLocks noChangeAspect="1"/>
            </wp:cNvGraphicFramePr>
            <a:graphic>
              <a:graphicData uri="http://schemas.openxmlformats.org/drawingml/2006/picture">
                <pic:pic>
                  <pic:nvPicPr>
                    <pic:cNvPr id="0" name="uppföljning av västlig taiga.jpeg"/>
                    <pic:cNvPicPr/>
                  </pic:nvPicPr>
                  <pic:blipFill>
                    <a:blip r:embed="rId18"/>
                    <a:stretch>
                      <a:fillRect/>
                    </a:stretch>
                  </pic:blipFill>
                  <pic:spPr>
                    <a:xfrm>
                      <a:off x="0" y="0"/>
                      <a:ext cx="5486400" cy="2905862"/>
                    </a:xfrm>
                    <a:prstGeom prst="rect"/>
                  </pic:spPr>
                </pic:pic>
              </a:graphicData>
            </a:graphic>
          </wp:inline>
        </w:drawing>
      </w:r>
    </w:p>
    <w:p>
      <w:pPr>
        <w:pStyle w:val="Caption"/>
      </w:pPr>
      <w:r>
        <w:t>EU:s uppföljning av tillståndet för naturtypen Västlig taiga 9010 i Skandinavien 2013 - 2018. Av kartan framgår det att i den boreala regionen är tillståndet så dåligt (röd färg) att habitatet löper allvarlig risk att försvinna regionalt. Källa: European Environment Agency. https:// eunis.eea.europoa.eu/habitats/10176.</w:t>
      </w:r>
    </w:p>
    <w:p>
      <w:r>
        <w:t>Trots det allvarliga läget har statusen för Västlig taiga ändrats till otillräcklig i stället för dålig i den senaste Artikel 17 rapporteringen 2025. Av Naturvårdsverkets rapport framgår det dock att de ändrade statusbedömningarna jämfört med rapporteringen 2019 inte beror på faktiska miljöförändringar. Ändringarna är av teknisk karaktär och främst en följd av resultaten från genomförda regeringsuppdrag och beslut inför rapporteringen 2025. Det är alltså politisk styrning i stället för faktiska förhållanden i naturen som ändrat på naturtypernas status i rapporteringen, vilket rimmar dåligt med såväl art- och habitatdirektivets syften och mål som med naturrestaureringsförordningen. I praktiken har dock Sveriges nya sätt att rapportera bevarandestatus till EU inte någon betydelse eftersom Naturvårdsverkets rapportering 2025 visar att Västlig taiga inte har gynnsam bevarandestatus.</w:t>
      </w:r>
    </w:p>
    <w:p>
      <w:pPr>
        <w:pStyle w:val="Heading2"/>
      </w:pPr>
      <w:r>
        <w:t>EU:s naturrestaureringsförordning</w:t>
      </w:r>
    </w:p>
    <w:p>
      <w:r>
        <w:t>Enligt EU:s naturrestaureringsförordning (EU 2024/1991) ska minst 20 % av landområden och minst 20 % av havsarealen vara restaurerad senast 2030, samt alla ekosystem som är i behov av restaurering senast 2050. Det framgår också av förordningen att det är viktigt att livsmiljötyperna inte försämras innan eller efter att restaureringar genomförts, se exempelvis punkt 37 förordningen.</w:t>
      </w:r>
    </w:p>
    <w:p>
      <w:r>
        <w:t>”</w:t>
      </w:r>
      <w:r>
        <w:rPr>
          <w:i/>
        </w:rPr>
        <w:t>Det är viktigt att medlemsstaterna vidtar åtgärder som syftar till att säkerställa att tillståndet för områden som täcks av livsmiljötyper som omfattas av denna förordning och som omfattas av restaureringsåtgärder uppvisar en kontinuerlig förbättring till dess att de uppnår ett gott tillstånd, och att medlemsstaterna vidtar åtgärder som syftar till att säkerställa att dessa livsmiljötyper, när de har uppnått ett gott tillstånd, inte försämras avsevärt, så att det långsiktiga bibehållandet eller uppnåendet av gott tillstånd inte äventyras. (..) Det är också viktigt att medlemsstaterna anstränger sig för att förhindra avsevärd försämring av områden som täcks av sådana livsmiljötyper som antingen redan är i gott skick eller som inte är i gott skick men ännu inte omfattas av restaureringsåtgärder.”</w:t>
      </w:r>
    </w:p>
    <w:p>
      <w:r>
        <w:rPr>
          <w:b/>
          <w:i/>
        </w:rPr>
        <w:t>Artikel 4(12):</w:t>
      </w:r>
    </w:p>
    <w:p>
      <w:r>
        <w:rPr>
          <w:i/>
        </w:rPr>
        <w:t>Utan att det påverkar tillämpningen av direktiv 92/43/EEG ska medlemsstaterna, senast den dag då deras nationella restaureringsplaner offentliggörs i enlighet med artikel 17.6 i denna förordning, eftersträva att genomföra de åtgärder som krävs för att förhindra avsevärd försämring av områden där de livsmiljötyper som förtecknas i bilaga I till denna förordning förekommer och som är i gott tillstånd eller som krävs för att uppnå de restaureringsmål som anges i punkt 17 i den här artikeln.</w:t>
      </w:r>
    </w:p>
    <w:p>
      <w:r>
        <w:rPr>
          <w:b/>
          <w:i/>
        </w:rPr>
        <w:t>Artikel 4 (17).   Medlemsstaterna ska säkerställa</w:t>
      </w:r>
    </w:p>
    <w:p>
      <w:r>
        <w:rPr>
          <w:i/>
        </w:rPr>
        <w:t>a) en ökning av arealen i gott tillstånd för de livsmiljötyper som förtecknas i bilaga I till dess att minst 90 % är i gott tillstånd och till dess att den gynnsamma referensarealen för varje livsmiljötyp i varje biogeografisk region inom den berörda medlemsstaten har uppnåtts.</w:t>
      </w:r>
    </w:p>
    <w:p>
      <w:r>
        <w:t>Referenser</w:t>
      </w:r>
    </w:p>
    <w:p>
      <w:r>
        <w:t xml:space="preserve">EEA European Environment Agency, 2022. </w:t>
      </w:r>
      <w:r>
        <w:rPr>
          <w:i/>
        </w:rPr>
        <w:t xml:space="preserve">Western taiga – Conservation status 2013-2018. </w:t>
      </w:r>
      <w:r>
        <w:t>https:// eunis.eea.europoa.eu/habitats/10176.</w:t>
      </w:r>
    </w:p>
    <w:p>
      <w:r>
        <w:t>EU-domstolens dom av den 2 juli 2020 i målet C 477/19 (Europeisk hamster) p. 23.</w:t>
      </w:r>
    </w:p>
    <w:p>
      <w:r>
        <w:t>EU-domstolens dom av den 4 mars 2021 i de förenade målen C 473-19 och C 474-19 (Skydda skogen) p. 70 och 76.</w:t>
      </w:r>
    </w:p>
    <w:p>
      <w:r>
        <w:t>Europaparlamentets och rådets direktiv 2009/147/EG av den 30 november 2009 om bevarande av vilda fåglar.</w:t>
      </w:r>
    </w:p>
    <w:p>
      <w:r>
        <w:t>EUROPAPARLAMENTETS OCH RÅDETS FÖRORDNING (EU) 2024/1991 av den 24 juni 2024 om restaurering av natur och om ändring av förordning (EU) 2022/869.</w:t>
      </w:r>
    </w:p>
    <w:p>
      <w:r>
        <w:t>Rådets direktiv 92/43/EEG av den 21 mj 1992 om bevarande av livsmiljöer samt vilda djur och växter.</w:t>
      </w:r>
    </w:p>
    <w:p>
      <w:r>
        <w:t xml:space="preserve">Skogsstyrelsen, 2026. </w:t>
      </w:r>
      <w:r>
        <w:rPr>
          <w:i/>
        </w:rPr>
        <w:t>Biologisk mångfald i skogen.</w:t>
      </w:r>
      <w:r>
        <w:t xml:space="preserve"> Rapport 2026/07.</w:t>
      </w:r>
    </w:p>
    <w:p>
      <w:r>
        <w:t xml:space="preserve">SLU Artdatabanken, 2019. </w:t>
      </w:r>
      <w:r>
        <w:rPr>
          <w:i/>
        </w:rPr>
        <w:t>Sveriges arter och naturtyper i EU:s art- och habitatdirektiv.</w:t>
      </w:r>
      <w:r>
        <w:t xml:space="preserve"> Resultat från rapportering 2019 till EU av bevarandestatus 2013-2018.</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2026-09-03</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 Id="rId18" Type="http://schemas.openxmlformats.org/officeDocument/2006/relationships/image" Target="media/image3.jpe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